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outlineLvl w:val="0"/>
        <w:rPr>
          <w:rFonts w:ascii="思源黑体 CN Regular" w:hAnsi="思源黑体 CN Regular" w:eastAsia="思源黑体 CN Regular"/>
          <w:b/>
          <w:sz w:val="52"/>
          <w:szCs w:val="52"/>
        </w:rPr>
      </w:pPr>
      <w:bookmarkStart w:id="0" w:name="_Toc8009"/>
      <w:bookmarkStart w:id="1" w:name="_Toc25715"/>
      <w:bookmarkStart w:id="2" w:name="_Toc28989"/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北京大兴国际机场电子化采购平台</w:t>
      </w:r>
      <w:bookmarkEnd w:id="0"/>
      <w:bookmarkEnd w:id="1"/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操作手册</w:t>
      </w:r>
      <w:bookmarkEnd w:id="2"/>
    </w:p>
    <w:p>
      <w:pPr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  <w:bookmarkStart w:id="3" w:name="_Toc16348"/>
    </w:p>
    <w:p>
      <w:pPr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</w:p>
    <w:p>
      <w:pPr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</w:p>
    <w:p>
      <w:pPr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 w:ascii="思源黑体 CN Regular" w:hAnsi="思源黑体 CN Regular" w:eastAsia="思源黑体 CN Regular"/>
          <w:b/>
          <w:sz w:val="7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/>
          <w:b/>
          <w:sz w:val="72"/>
          <w:szCs w:val="52"/>
          <w:lang w:val="en-US" w:eastAsia="zh-CN"/>
        </w:rPr>
        <w:t>询价</w:t>
      </w:r>
      <w:r>
        <w:rPr>
          <w:rFonts w:hint="eastAsia" w:ascii="思源黑体 CN Regular" w:hAnsi="思源黑体 CN Regular" w:eastAsia="思源黑体 CN Regular"/>
          <w:b/>
          <w:sz w:val="72"/>
          <w:szCs w:val="52"/>
        </w:rPr>
        <w:t>-</w:t>
      </w:r>
      <w:bookmarkEnd w:id="3"/>
      <w:r>
        <w:rPr>
          <w:rFonts w:hint="eastAsia" w:ascii="思源黑体 CN Regular" w:hAnsi="思源黑体 CN Regular" w:eastAsia="思源黑体 CN Regular"/>
          <w:b/>
          <w:sz w:val="72"/>
          <w:szCs w:val="52"/>
          <w:lang w:val="en-US" w:eastAsia="zh-CN"/>
        </w:rPr>
        <w:t>评委</w:t>
      </w:r>
    </w:p>
    <w:p>
      <w:pPr>
        <w:tabs>
          <w:tab w:val="left" w:pos="6780"/>
        </w:tabs>
        <w:ind w:firstLine="42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42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42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42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42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42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3148965" cy="683895"/>
            <wp:effectExtent l="0" t="0" r="5715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0" w:firstLineChars="0"/>
        <w:jc w:val="center"/>
        <w:rPr>
          <w:rFonts w:hint="eastAsia"/>
          <w:b/>
          <w:sz w:val="32"/>
          <w:szCs w:val="32"/>
        </w:rPr>
      </w:pPr>
    </w:p>
    <w:p>
      <w:pPr>
        <w:spacing w:line="300" w:lineRule="auto"/>
        <w:ind w:firstLine="0" w:firstLineChars="0"/>
        <w:jc w:val="center"/>
        <w:rPr>
          <w:rFonts w:hint="eastAsia"/>
          <w:b/>
          <w:sz w:val="32"/>
          <w:szCs w:val="32"/>
        </w:rPr>
      </w:pPr>
    </w:p>
    <w:p>
      <w:pPr>
        <w:spacing w:line="300" w:lineRule="auto"/>
        <w:ind w:firstLine="0" w:firstLineChars="0"/>
        <w:jc w:val="center"/>
        <w:rPr>
          <w:rFonts w:hint="eastAsia"/>
          <w:b/>
          <w:sz w:val="32"/>
          <w:szCs w:val="32"/>
        </w:rPr>
      </w:pPr>
    </w:p>
    <w:p>
      <w:pPr>
        <w:spacing w:line="300" w:lineRule="auto"/>
        <w:ind w:firstLine="0" w:firstLineChars="0"/>
        <w:jc w:val="center"/>
        <w:rPr>
          <w:rFonts w:hint="eastAsia"/>
          <w:b/>
          <w:sz w:val="32"/>
          <w:szCs w:val="32"/>
        </w:rPr>
      </w:pPr>
    </w:p>
    <w:p>
      <w:pPr>
        <w:spacing w:line="300" w:lineRule="auto"/>
        <w:ind w:firstLine="0" w:firstLineChars="0"/>
        <w:jc w:val="center"/>
        <w:rPr>
          <w:rFonts w:hint="eastAsia"/>
          <w:b/>
          <w:sz w:val="32"/>
          <w:szCs w:val="32"/>
        </w:rPr>
      </w:pPr>
    </w:p>
    <w:p>
      <w:pPr>
        <w:tabs>
          <w:tab w:val="left" w:pos="6780"/>
        </w:tabs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ascii="思源宋体 CN ExtraLight" w:hAnsi="思源宋体 CN ExtraLight" w:eastAsia="思源宋体 CN ExtraLight" w:cs="思源宋体 CN ExtraLigh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-198120</wp:posOffset>
            </wp:positionV>
            <wp:extent cx="3466465" cy="1764030"/>
            <wp:effectExtent l="0" t="0" r="8255" b="3810"/>
            <wp:wrapSquare wrapText="bothSides"/>
            <wp:docPr id="8" name="图片 3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8" descr="小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780"/>
        </w:tabs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0" w:firstLineChars="0"/>
        <w:jc w:val="left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0" w:firstLineChars="0"/>
        <w:jc w:val="left"/>
        <w:rPr>
          <w:rFonts w:ascii="黑体" w:hAnsi="黑体" w:eastAsia="黑体" w:cs="思源宋体 CN ExtraLight"/>
          <w:sz w:val="32"/>
        </w:rPr>
      </w:pPr>
    </w:p>
    <w:p>
      <w:pPr>
        <w:tabs>
          <w:tab w:val="left" w:pos="6780"/>
        </w:tabs>
        <w:ind w:firstLine="0" w:firstLineChars="0"/>
        <w:jc w:val="left"/>
        <w:rPr>
          <w:rFonts w:ascii="黑体" w:hAnsi="黑体" w:eastAsia="黑体" w:cs="思源宋体 CN ExtraLight"/>
          <w:sz w:val="32"/>
        </w:rPr>
      </w:pPr>
    </w:p>
    <w:p>
      <w:pPr>
        <w:tabs>
          <w:tab w:val="left" w:pos="6780"/>
        </w:tabs>
        <w:ind w:firstLine="0" w:firstLineChars="0"/>
        <w:jc w:val="left"/>
        <w:rPr>
          <w:rFonts w:ascii="黑体" w:hAnsi="黑体" w:eastAsia="黑体" w:cs="思源宋体 CN ExtraLight"/>
          <w:sz w:val="32"/>
        </w:rPr>
      </w:pPr>
    </w:p>
    <w:p>
      <w:pPr>
        <w:tabs>
          <w:tab w:val="left" w:pos="6780"/>
        </w:tabs>
        <w:ind w:firstLine="0" w:firstLineChars="0"/>
        <w:jc w:val="left"/>
        <w:rPr>
          <w:rFonts w:ascii="黑体" w:hAnsi="黑体" w:eastAsia="黑体" w:cs="思源宋体 CN ExtraLight"/>
          <w:sz w:val="32"/>
        </w:rPr>
      </w:pPr>
    </w:p>
    <w:p>
      <w:pPr>
        <w:tabs>
          <w:tab w:val="left" w:pos="6780"/>
        </w:tabs>
        <w:ind w:firstLine="0" w:firstLineChars="0"/>
        <w:jc w:val="center"/>
        <w:rPr>
          <w:rFonts w:ascii="Times New Roman" w:hAnsi="Times New Roman" w:eastAsia="黑体" w:cs="Times New Roman"/>
          <w:color w:val="FF0000"/>
          <w:sz w:val="32"/>
        </w:rPr>
      </w:pPr>
      <w:r>
        <w:rPr>
          <w:rFonts w:hint="default" w:ascii="Times New Roman" w:hAnsi="Times New Roman" w:eastAsia="黑体" w:cs="Times New Roman"/>
          <w:color w:val="FF0000"/>
          <w:sz w:val="32"/>
        </w:rPr>
        <w:t>技术支持：国泰新点软件股份有限公司</w:t>
      </w:r>
    </w:p>
    <w:p>
      <w:pPr>
        <w:tabs>
          <w:tab w:val="left" w:pos="6780"/>
        </w:tabs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  <w:r>
        <w:rPr>
          <w:rFonts w:hint="default" w:ascii="Times New Roman" w:hAnsi="Times New Roman" w:eastAsia="黑体" w:cs="Times New Roman"/>
          <w:color w:val="FF0000"/>
          <w:sz w:val="32"/>
        </w:rPr>
        <w:t xml:space="preserve"> </w:t>
      </w:r>
      <w:r>
        <w:rPr>
          <w:rFonts w:ascii="Times New Roman" w:hAnsi="Times New Roman" w:eastAsia="黑体" w:cs="Times New Roman"/>
          <w:color w:val="FF0000"/>
          <w:sz w:val="32"/>
        </w:rPr>
        <w:t xml:space="preserve">        </w:t>
      </w:r>
      <w:r>
        <w:rPr>
          <w:rFonts w:hint="default" w:ascii="Times New Roman" w:hAnsi="Times New Roman" w:eastAsia="黑体" w:cs="Times New Roman"/>
          <w:color w:val="FF0000"/>
          <w:sz w:val="32"/>
        </w:rPr>
        <w:t>联系方式：400 101 5550</w:t>
      </w:r>
    </w:p>
    <w:p>
      <w:pPr>
        <w:tabs>
          <w:tab w:val="left" w:pos="6780"/>
        </w:tabs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  <w:r>
        <w:rPr>
          <w:rFonts w:ascii="Times New Roman" w:hAnsi="Times New Roman" w:eastAsia="黑体" w:cs="Times New Roman"/>
          <w:color w:val="FF0000"/>
          <w:sz w:val="32"/>
        </w:rPr>
        <w:t xml:space="preserve">         </w:t>
      </w:r>
      <w:r>
        <w:rPr>
          <w:rFonts w:hint="default" w:ascii="Times New Roman" w:hAnsi="Times New Roman" w:eastAsia="黑体" w:cs="Times New Roman"/>
          <w:color w:val="FF0000"/>
          <w:sz w:val="32"/>
        </w:rPr>
        <w:t>QQ：416634638</w:t>
      </w: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  <w:r>
        <w:rPr>
          <w:rFonts w:hint="default" w:ascii="Times New Roman" w:hAnsi="Times New Roman" w:eastAsia="黑体" w:cs="Times New Roman"/>
          <w:color w:val="FF0000"/>
          <w:sz w:val="32"/>
        </w:rPr>
        <w:t xml:space="preserve"> </w:t>
      </w:r>
      <w:r>
        <w:rPr>
          <w:rFonts w:ascii="Times New Roman" w:hAnsi="Times New Roman" w:eastAsia="黑体" w:cs="Times New Roman"/>
          <w:color w:val="FF0000"/>
          <w:sz w:val="32"/>
        </w:rPr>
        <w:t xml:space="preserve">        </w:t>
      </w:r>
      <w:r>
        <w:rPr>
          <w:rFonts w:hint="default" w:ascii="Times New Roman" w:hAnsi="Times New Roman" w:eastAsia="黑体" w:cs="Times New Roman"/>
          <w:color w:val="FF0000"/>
          <w:sz w:val="32"/>
        </w:rPr>
        <w:t>联系人：宋工</w:t>
      </w: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ind w:firstLine="0" w:firstLineChars="0"/>
        <w:jc w:val="both"/>
        <w:rPr>
          <w:rFonts w:hint="default" w:ascii="Times New Roman" w:hAnsi="Times New Roman" w:eastAsia="黑体" w:cs="Times New Roman"/>
          <w:color w:val="FF0000"/>
          <w:sz w:val="32"/>
        </w:rPr>
      </w:pPr>
    </w:p>
    <w:p>
      <w:pPr>
        <w:spacing w:line="300" w:lineRule="auto"/>
        <w:ind w:firstLine="0" w:firstLineChars="0"/>
        <w:jc w:val="center"/>
        <w:rPr>
          <w:rFonts w:hint="eastAsia"/>
          <w:b/>
          <w:sz w:val="32"/>
          <w:szCs w:val="32"/>
        </w:rPr>
      </w:pPr>
    </w:p>
    <w:p>
      <w:pPr>
        <w:spacing w:line="300" w:lineRule="auto"/>
        <w:ind w:firstLine="0" w:firstLineChars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版 本 历 史</w:t>
      </w:r>
    </w:p>
    <w:tbl>
      <w:tblPr>
        <w:tblStyle w:val="2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DCD8C2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DCD8C2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DCD8C2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DCD8C2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DCD8C2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V1.0</w:t>
            </w:r>
          </w:p>
        </w:tc>
        <w:tc>
          <w:tcPr>
            <w:tcW w:w="851" w:type="dxa"/>
          </w:tcPr>
          <w:p>
            <w:pPr>
              <w:ind w:firstLine="0" w:firstLineChars="0"/>
              <w:jc w:val="center"/>
              <w:rPr>
                <w:rFonts w:hint="eastAsia" w:eastAsia="思源宋体 CN Ligh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宋瑛</w:t>
            </w:r>
          </w:p>
        </w:tc>
        <w:tc>
          <w:tcPr>
            <w:tcW w:w="992" w:type="dxa"/>
          </w:tcPr>
          <w:p>
            <w:pPr>
              <w:ind w:firstLine="0" w:firstLineChars="0"/>
              <w:jc w:val="center"/>
              <w:rPr>
                <w:szCs w:val="21"/>
              </w:rPr>
            </w:pPr>
          </w:p>
        </w:tc>
        <w:tc>
          <w:tcPr>
            <w:tcW w:w="2268" w:type="dxa"/>
          </w:tcPr>
          <w:p>
            <w:pPr>
              <w:ind w:firstLine="0" w:firstLineChars="0"/>
              <w:jc w:val="center"/>
              <w:rPr>
                <w:rFonts w:hint="eastAsia" w:eastAsia="思源宋体 CN Ligh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  <w:r>
              <w:rPr>
                <w:rFonts w:hint="eastAsia"/>
                <w:szCs w:val="21"/>
              </w:rPr>
              <w:t>.1</w:t>
            </w:r>
            <w:r>
              <w:rPr>
                <w:rFonts w:hint="eastAsia"/>
                <w:szCs w:val="21"/>
                <w:lang w:val="en-US" w:eastAsia="zh-CN"/>
              </w:rPr>
              <w:t>2</w:t>
            </w:r>
            <w:r>
              <w:rPr>
                <w:rFonts w:hint="eastAsia"/>
                <w:szCs w:val="21"/>
              </w:rPr>
              <w:t>.</w:t>
            </w:r>
            <w:r>
              <w:rPr>
                <w:rFonts w:hint="eastAsia"/>
                <w:szCs w:val="21"/>
                <w:lang w:val="en-US" w:eastAsia="zh-CN"/>
              </w:rPr>
              <w:t>6</w:t>
            </w:r>
          </w:p>
        </w:tc>
        <w:tc>
          <w:tcPr>
            <w:tcW w:w="3169" w:type="dxa"/>
          </w:tcPr>
          <w:p>
            <w:pPr>
              <w:ind w:firstLine="0" w:firstLineChars="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ind w:firstLine="0" w:firstLineChars="0"/>
              <w:jc w:val="center"/>
              <w:rPr>
                <w:rFonts w:hint="default" w:eastAsia="思源宋体 CN Ligh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V1.1</w:t>
            </w:r>
          </w:p>
        </w:tc>
        <w:tc>
          <w:tcPr>
            <w:tcW w:w="851" w:type="dxa"/>
          </w:tcPr>
          <w:p>
            <w:pPr>
              <w:ind w:firstLine="0" w:firstLineChars="0"/>
              <w:jc w:val="left"/>
              <w:rPr>
                <w:rFonts w:hint="eastAsia"/>
                <w:szCs w:val="21"/>
              </w:rPr>
            </w:pPr>
          </w:p>
        </w:tc>
        <w:tc>
          <w:tcPr>
            <w:tcW w:w="992" w:type="dxa"/>
          </w:tcPr>
          <w:p>
            <w:pPr>
              <w:ind w:firstLine="0" w:firstLineChars="0"/>
              <w:jc w:val="center"/>
              <w:rPr>
                <w:szCs w:val="21"/>
              </w:rPr>
            </w:pPr>
          </w:p>
        </w:tc>
        <w:tc>
          <w:tcPr>
            <w:tcW w:w="2268" w:type="dxa"/>
          </w:tcPr>
          <w:p>
            <w:pPr>
              <w:ind w:firstLine="0" w:firstLineChars="0"/>
              <w:jc w:val="both"/>
              <w:rPr>
                <w:rFonts w:hint="default" w:eastAsia="思源宋体 CN Light"/>
                <w:szCs w:val="21"/>
                <w:lang w:val="en-US" w:eastAsia="zh-CN"/>
              </w:rPr>
            </w:pPr>
          </w:p>
        </w:tc>
        <w:tc>
          <w:tcPr>
            <w:tcW w:w="3169" w:type="dxa"/>
          </w:tcPr>
          <w:p>
            <w:pPr>
              <w:ind w:firstLine="0" w:firstLineChars="0"/>
              <w:jc w:val="center"/>
              <w:rPr>
                <w:rFonts w:hint="eastAsia" w:eastAsia="思源宋体 CN Light"/>
                <w:szCs w:val="21"/>
                <w:lang w:val="en-US" w:eastAsia="zh-CN"/>
              </w:rPr>
            </w:pPr>
          </w:p>
        </w:tc>
      </w:tr>
    </w:tbl>
    <w:p>
      <w:pPr>
        <w:ind w:left="420" w:firstLine="0" w:firstLineChars="0"/>
        <w:jc w:val="left"/>
      </w:pPr>
    </w:p>
    <w:p>
      <w:pPr>
        <w:ind w:left="420" w:firstLine="0" w:firstLineChars="0"/>
        <w:jc w:val="left"/>
      </w:pPr>
    </w:p>
    <w:p>
      <w:pPr>
        <w:pStyle w:val="12"/>
        <w:rPr>
          <w:rFonts w:cs="思源宋体 CN Light"/>
        </w:rPr>
      </w:pPr>
    </w:p>
    <w:p>
      <w:pPr>
        <w:pStyle w:val="12"/>
        <w:rPr>
          <w:rFonts w:cs="思源宋体 CN Light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624" w:footer="624" w:gutter="0"/>
          <w:pgNumType w:start="1"/>
          <w:cols w:space="425" w:num="1"/>
          <w:docGrid w:type="lines" w:linePitch="312" w:charSpace="0"/>
        </w:sectPr>
      </w:pPr>
    </w:p>
    <w:p>
      <w:pPr>
        <w:pStyle w:val="51"/>
        <w:spacing w:line="240" w:lineRule="auto"/>
        <w:rPr>
          <w:rFonts w:hint="eastAsia"/>
        </w:rPr>
      </w:pPr>
      <w:r>
        <w:rPr>
          <w:rFonts w:hint="eastAsia"/>
        </w:rPr>
        <w:t>目录</w:t>
      </w:r>
    </w:p>
    <w:p>
      <w:pPr>
        <w:ind w:firstLine="0" w:firstLineChars="0"/>
        <w:jc w:val="center"/>
        <w:rPr>
          <w:rFonts w:hint="eastAsia" w:ascii="思源宋体 CN Light" w:hAnsi="思源宋体 CN Light" w:cs="思源宋体 CN Light"/>
          <w:b/>
          <w:spacing w:val="200"/>
          <w:sz w:val="32"/>
          <w:szCs w:val="32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</w:pPr>
    </w:p>
    <w:p>
      <w:pPr>
        <w:pStyle w:val="52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 w:cs="Times New Roman"/>
          <w:b/>
        </w:rPr>
      </w:pPr>
      <w:r>
        <w:fldChar w:fldCharType="begin"/>
      </w:r>
      <w:r>
        <w:instrText xml:space="preserve">TOC \o "1-2" \h \u </w:instrText>
      </w:r>
      <w:r>
        <w:fldChar w:fldCharType="separate"/>
      </w:r>
      <w:r>
        <w:rPr>
          <w:rFonts w:hint="default" w:ascii="Times New Roman" w:hAnsi="Times New Roman" w:cs="Times New Roman"/>
          <w:b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sz w:val="24"/>
          <w:szCs w:val="24"/>
        </w:rPr>
        <w:instrText xml:space="preserve"> HYPERLINK \l _Toc29654 </w:instrText>
      </w:r>
      <w:r>
        <w:rPr>
          <w:rFonts w:hint="default"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hint="default" w:ascii="Times New Roman" w:hAnsi="Times New Roman" w:eastAsia="思源宋体 CN ExtraLight" w:cs="Times New Roman"/>
          <w:b/>
          <w:bCs/>
          <w:sz w:val="24"/>
          <w:szCs w:val="24"/>
          <w:lang w:val="en-US" w:eastAsia="zh-CN"/>
        </w:rPr>
        <w:t>一、</w:t>
      </w:r>
      <w:r>
        <w:rPr>
          <w:rFonts w:hint="eastAsia" w:eastAsia="思源宋体 CN ExtraLight" w:cs="Times New Roman"/>
          <w:b/>
          <w:bCs/>
          <w:sz w:val="24"/>
          <w:szCs w:val="24"/>
          <w:lang w:val="en-US" w:eastAsia="zh-CN"/>
        </w:rPr>
        <w:t>评委登录</w:t>
      </w:r>
      <w:r>
        <w:rPr>
          <w:rFonts w:hint="default" w:ascii="Times New Roman" w:hAnsi="Times New Roman" w:cs="Times New Roman"/>
          <w:b/>
          <w:sz w:val="24"/>
          <w:szCs w:val="24"/>
        </w:rPr>
        <w:tab/>
      </w:r>
      <w:r>
        <w:rPr>
          <w:rFonts w:hint="eastAsia" w:cs="Times New Roman"/>
          <w:b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 w:val="24"/>
          <w:szCs w:val="24"/>
        </w:rPr>
        <w:fldChar w:fldCharType="end"/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</w:pPr>
      <w:r>
        <w:fldChar w:fldCharType="begin"/>
      </w:r>
      <w:r>
        <w:instrText xml:space="preserve"> HYPERLINK \l _Toc9661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28"/>
          <w:lang w:val="en-US" w:eastAsia="zh-CN"/>
        </w:rPr>
        <w:t>1.1、</w:t>
      </w:r>
      <w:r>
        <w:rPr>
          <w:rFonts w:hint="eastAsia" w:ascii="宋体" w:hAnsi="宋体" w:cs="宋体"/>
          <w:bCs/>
          <w:szCs w:val="28"/>
          <w:lang w:val="en-US" w:eastAsia="zh-CN"/>
        </w:rPr>
        <w:t>账号登录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</w:pPr>
      <w:r>
        <w:fldChar w:fldCharType="begin"/>
      </w:r>
      <w:r>
        <w:instrText xml:space="preserve"> HYPERLINK \l _Toc29439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28"/>
          <w:lang w:val="en-US" w:eastAsia="zh-CN"/>
        </w:rPr>
        <w:t>1.2、</w:t>
      </w:r>
      <w:r>
        <w:rPr>
          <w:rFonts w:hint="eastAsia" w:ascii="宋体" w:hAnsi="宋体" w:cs="宋体"/>
          <w:bCs/>
          <w:szCs w:val="28"/>
          <w:lang w:val="en-US" w:eastAsia="zh-CN"/>
        </w:rPr>
        <w:t>进入评审项目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52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fldChar w:fldCharType="begin"/>
      </w:r>
      <w:r>
        <w:rPr>
          <w:b/>
          <w:sz w:val="24"/>
          <w:szCs w:val="24"/>
        </w:rPr>
        <w:instrText xml:space="preserve"> HYPERLINK \l _Toc18217 </w:instrText>
      </w:r>
      <w:r>
        <w:rPr>
          <w:b/>
          <w:sz w:val="24"/>
          <w:szCs w:val="24"/>
        </w:rPr>
        <w:fldChar w:fldCharType="separate"/>
      </w:r>
      <w:r>
        <w:rPr>
          <w:rFonts w:hint="eastAsia"/>
          <w:b/>
          <w:sz w:val="24"/>
          <w:szCs w:val="24"/>
          <w:lang w:val="en-US" w:eastAsia="zh-CN"/>
        </w:rPr>
        <w:t>二、评委评审</w:t>
      </w:r>
      <w:r>
        <w:rPr>
          <w:b/>
          <w:sz w:val="24"/>
          <w:szCs w:val="24"/>
        </w:rPr>
        <w:tab/>
      </w:r>
      <w:r>
        <w:rPr>
          <w:rFonts w:hint="eastAsia"/>
          <w:b/>
          <w:sz w:val="24"/>
          <w:szCs w:val="24"/>
          <w:lang w:val="en-US" w:eastAsia="zh-CN"/>
        </w:rPr>
        <w:t>3</w:t>
      </w:r>
      <w:r>
        <w:rPr>
          <w:b/>
          <w:sz w:val="24"/>
          <w:szCs w:val="24"/>
        </w:rPr>
        <w:fldChar w:fldCharType="end"/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</w:pPr>
      <w:r>
        <w:fldChar w:fldCharType="begin"/>
      </w:r>
      <w:r>
        <w:instrText xml:space="preserve"> HYPERLINK \l _Toc2521 </w:instrText>
      </w:r>
      <w: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2.1、</w:t>
      </w:r>
      <w:r>
        <w:rPr>
          <w:rFonts w:hint="eastAsia" w:ascii="宋体" w:hAnsi="宋体" w:cs="宋体"/>
          <w:lang w:val="en-US" w:eastAsia="zh-CN"/>
        </w:rPr>
        <w:t>审查准备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</w:pPr>
      <w:r>
        <w:fldChar w:fldCharType="begin"/>
      </w:r>
      <w:r>
        <w:instrText xml:space="preserve"> HYPERLINK \l _Toc2521 </w:instrText>
      </w:r>
      <w: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eastAsia" w:ascii="宋体" w:hAnsi="宋体" w:cs="宋体"/>
          <w:lang w:val="en-US" w:eastAsia="zh-CN"/>
        </w:rPr>
        <w:t>形式评审</w:t>
      </w:r>
      <w:r>
        <w:tab/>
      </w:r>
      <w:r>
        <w:rPr>
          <w:rFonts w:hint="eastAsia"/>
          <w:lang w:val="en-US" w:eastAsia="zh-CN"/>
        </w:rPr>
        <w:t>5</w:t>
      </w:r>
      <w:r>
        <w:fldChar w:fldCharType="end"/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  <w:lang w:val="en-US" w:eastAsia="zh-CN"/>
        </w:rPr>
      </w:pPr>
      <w:r>
        <w:fldChar w:fldCharType="begin"/>
      </w:r>
      <w:r>
        <w:instrText xml:space="preserve"> HYPERLINK \l _Toc2521 </w:instrText>
      </w:r>
      <w: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eastAsia" w:ascii="宋体" w:hAnsi="宋体" w:cs="宋体"/>
          <w:lang w:val="en-US" w:eastAsia="zh-CN"/>
        </w:rPr>
        <w:t>资格评审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  <w:lang w:val="en-US" w:eastAsia="zh-CN"/>
        </w:rPr>
      </w:pPr>
      <w:r>
        <w:fldChar w:fldCharType="begin"/>
      </w:r>
      <w:r>
        <w:instrText xml:space="preserve"> HYPERLINK \l _Toc2521 </w:instrText>
      </w:r>
      <w: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cs="宋体"/>
          <w:lang w:val="en-US" w:eastAsia="zh-CN"/>
        </w:rPr>
        <w:t>4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eastAsia" w:ascii="宋体" w:hAnsi="宋体" w:cs="宋体"/>
          <w:lang w:val="en-US" w:eastAsia="zh-CN"/>
        </w:rPr>
        <w:t>响应性评审</w:t>
      </w:r>
      <w:r>
        <w:tab/>
      </w:r>
      <w:r>
        <w:rPr>
          <w:rFonts w:hint="eastAsia"/>
          <w:lang w:val="en-US" w:eastAsia="zh-CN"/>
        </w:rPr>
        <w:t>9</w:t>
      </w:r>
      <w:r>
        <w:fldChar w:fldCharType="end"/>
      </w:r>
    </w:p>
    <w:p>
      <w:pPr>
        <w:pStyle w:val="53"/>
        <w:keepNext w:val="0"/>
        <w:keepLines w:val="0"/>
        <w:pageBreakBefore w:val="0"/>
        <w:widowControl/>
        <w:tabs>
          <w:tab w:val="right" w:leader="middle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_Toc2521 </w:instrText>
      </w:r>
      <w: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cs="宋体"/>
          <w:lang w:val="en-US" w:eastAsia="zh-CN"/>
        </w:rPr>
        <w:t>5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eastAsia" w:ascii="宋体" w:hAnsi="宋体" w:cs="宋体"/>
          <w:lang w:val="en-US" w:eastAsia="zh-CN"/>
        </w:rPr>
        <w:t>审查结束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1</w:t>
      </w:r>
    </w:p>
    <w:p>
      <w:pPr>
        <w:pStyle w:val="36"/>
        <w:ind w:firstLine="0" w:firstLineChars="0"/>
        <w:rPr>
          <w:rFonts w:ascii="思源宋体 CN Light" w:hAnsi="思源宋体 CN Light" w:cs="思源宋体 CN Light"/>
        </w:rPr>
      </w:pPr>
      <w:r>
        <w:rPr>
          <w:b/>
        </w:rPr>
        <w:fldChar w:fldCharType="end"/>
      </w:r>
    </w:p>
    <w:p>
      <w:pPr>
        <w:pStyle w:val="36"/>
        <w:ind w:firstLine="420"/>
        <w:rPr>
          <w:rFonts w:ascii="思源宋体 CN Light" w:hAnsi="思源宋体 CN Light" w:cs="思源宋体 CN Light"/>
        </w:rPr>
      </w:pPr>
      <w:r>
        <w:rPr>
          <w:rFonts w:hint="eastAsia" w:ascii="思源宋体 CN Light" w:hAnsi="思源宋体 CN Light" w:cs="思源宋体 CN Light"/>
        </w:rPr>
        <w:br w:type="page"/>
      </w:r>
    </w:p>
    <w:p>
      <w:pPr>
        <w:pStyle w:val="2"/>
      </w:pPr>
      <w:bookmarkStart w:id="4" w:name="_Toc15582"/>
      <w:r>
        <w:rPr>
          <w:rFonts w:hint="eastAsia"/>
          <w:lang w:val="en-US" w:eastAsia="zh-CN"/>
        </w:rPr>
        <w:t>评委</w:t>
      </w:r>
      <w:r>
        <w:rPr>
          <w:rFonts w:hint="eastAsia"/>
        </w:rPr>
        <w:t>登录</w:t>
      </w:r>
      <w:bookmarkEnd w:id="4"/>
    </w:p>
    <w:p>
      <w:pPr>
        <w:pStyle w:val="3"/>
      </w:pPr>
      <w:bookmarkStart w:id="5" w:name="_Toc13007"/>
      <w:r>
        <w:rPr>
          <w:rFonts w:hint="eastAsia"/>
        </w:rPr>
        <w:t>账号登录</w:t>
      </w:r>
      <w:bookmarkEnd w:id="5"/>
    </w:p>
    <w:p>
      <w:pPr>
        <w:pStyle w:val="11"/>
      </w:pPr>
      <w:r>
        <w:rPr>
          <w:rFonts w:hint="eastAsia"/>
        </w:rPr>
        <w:t>1、打开浏览器，进入北京大兴国际机场</w:t>
      </w:r>
      <w:r>
        <w:rPr>
          <w:rFonts w:hint="eastAsia"/>
          <w:lang w:val="en-US" w:eastAsia="zh-CN"/>
        </w:rPr>
        <w:t>电子化采购平台</w:t>
      </w:r>
      <w:r>
        <w:rPr>
          <w:rFonts w:hint="eastAsia"/>
        </w:rPr>
        <w:t>，选择评委</w:t>
      </w:r>
      <w:r>
        <w:rPr>
          <w:rFonts w:hint="eastAsia"/>
          <w:lang w:val="en-US" w:eastAsia="zh-CN"/>
        </w:rPr>
        <w:t>登录</w:t>
      </w:r>
      <w:r>
        <w:rPr>
          <w:rFonts w:hint="eastAsia"/>
        </w:rPr>
        <w:t>，输入账号密码后，点击登录，如下图：</w:t>
      </w:r>
    </w:p>
    <w:p>
      <w:pPr>
        <w:pStyle w:val="36"/>
        <w:ind w:firstLine="0" w:firstLineChars="0"/>
      </w:pPr>
      <w:r>
        <w:drawing>
          <wp:inline distT="0" distB="0" distL="114300" distR="114300">
            <wp:extent cx="5266690" cy="247967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0" w:firstLineChars="0"/>
      </w:pPr>
      <w:r>
        <w:drawing>
          <wp:inline distT="0" distB="0" distL="114300" distR="114300">
            <wp:extent cx="5265420" cy="2459355"/>
            <wp:effectExtent l="0" t="0" r="7620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11089"/>
      <w:r>
        <w:rPr>
          <w:rFonts w:hint="eastAsia"/>
        </w:rPr>
        <w:t>进入</w:t>
      </w:r>
      <w:r>
        <w:rPr>
          <w:rFonts w:hint="eastAsia"/>
          <w:lang w:eastAsia="zh-CN"/>
        </w:rPr>
        <w:t>评审</w:t>
      </w:r>
      <w:r>
        <w:rPr>
          <w:rFonts w:hint="eastAsia"/>
        </w:rPr>
        <w:t>项目</w:t>
      </w:r>
      <w:bookmarkEnd w:id="6"/>
    </w:p>
    <w:p>
      <w:pPr>
        <w:numPr>
          <w:ilvl w:val="0"/>
          <w:numId w:val="5"/>
        </w:num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快捷导航】</w:t>
      </w:r>
      <w:r>
        <w:rPr>
          <w:rFonts w:hint="eastAsia"/>
        </w:rPr>
        <w:t>按钮，</w:t>
      </w:r>
      <w:r>
        <w:rPr>
          <w:rFonts w:hint="eastAsia"/>
          <w:lang w:val="en-US" w:eastAsia="zh-CN"/>
        </w:rPr>
        <w:t>选择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电子化采购平台】，点击左上角菜单，</w:t>
      </w:r>
      <w:r>
        <w:rPr>
          <w:rFonts w:hint="eastAsia"/>
        </w:rPr>
        <w:t>选择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开标评审系统】</w:t>
      </w:r>
      <w:r>
        <w:rPr>
          <w:rFonts w:hint="eastAsia"/>
        </w:rPr>
        <w:t>，如下图：</w:t>
      </w:r>
    </w:p>
    <w:p>
      <w:pPr>
        <w:ind w:firstLine="0" w:firstLineChars="0"/>
      </w:pPr>
      <w:r>
        <w:drawing>
          <wp:inline distT="0" distB="0" distL="114300" distR="114300">
            <wp:extent cx="5261610" cy="2408555"/>
            <wp:effectExtent l="0" t="0" r="11430" b="1460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选择【评委】角色，找到要评审的项目，点击【进入评审】按钮，再点击【进入项目】。</w:t>
      </w:r>
    </w:p>
    <w:p>
      <w:pPr>
        <w:pStyle w:val="36"/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2405" cy="1054735"/>
            <wp:effectExtent l="0" t="0" r="63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703580"/>
            <wp:effectExtent l="0" t="0" r="508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7" w:name="_Toc41915257"/>
      <w:bookmarkStart w:id="8" w:name="_Toc22838"/>
      <w:r>
        <w:rPr>
          <w:rFonts w:hint="eastAsia"/>
        </w:rPr>
        <w:t>评委</w:t>
      </w:r>
      <w:bookmarkEnd w:id="7"/>
      <w:bookmarkEnd w:id="8"/>
      <w:r>
        <w:rPr>
          <w:rFonts w:hint="eastAsia"/>
          <w:lang w:val="en-US" w:eastAsia="zh-CN"/>
        </w:rPr>
        <w:t>审查</w:t>
      </w:r>
    </w:p>
    <w:p>
      <w:pPr>
        <w:pStyle w:val="3"/>
      </w:pPr>
      <w:bookmarkStart w:id="9" w:name="_Toc22005"/>
      <w:bookmarkStart w:id="10" w:name="_Toc41915258"/>
      <w:r>
        <w:rPr>
          <w:rFonts w:hint="eastAsia"/>
          <w:lang w:val="en-US" w:eastAsia="zh-CN"/>
        </w:rPr>
        <w:t>审查</w:t>
      </w:r>
      <w:r>
        <w:rPr>
          <w:rFonts w:hint="eastAsia"/>
        </w:rPr>
        <w:t>准备</w:t>
      </w:r>
      <w:bookmarkEnd w:id="9"/>
      <w:bookmarkEnd w:id="10"/>
    </w:p>
    <w:p>
      <w:pPr>
        <w:widowControl/>
        <w:ind w:firstLine="431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操作步骤：</w:t>
      </w:r>
    </w:p>
    <w:p>
      <w:pPr>
        <w:numPr>
          <w:ilvl w:val="0"/>
          <w:numId w:val="6"/>
        </w:numPr>
        <w:jc w:val="left"/>
      </w:pPr>
      <w:r>
        <w:rPr>
          <w:rFonts w:hint="eastAsia"/>
        </w:rPr>
        <w:t>进入</w:t>
      </w:r>
      <w:r>
        <w:rPr>
          <w:rFonts w:hint="eastAsia"/>
          <w:lang w:eastAsia="zh-CN"/>
        </w:rPr>
        <w:t>评审</w:t>
      </w:r>
      <w:r>
        <w:rPr>
          <w:rFonts w:hint="eastAsia"/>
        </w:rPr>
        <w:t>项目后，点击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审查</w:t>
      </w:r>
      <w:r>
        <w:rPr>
          <w:rFonts w:hint="eastAsia"/>
        </w:rPr>
        <w:t>准备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审查</w:t>
      </w:r>
      <w:r>
        <w:rPr>
          <w:rFonts w:hint="eastAsia"/>
        </w:rPr>
        <w:t>准备页面</w:t>
      </w:r>
      <w:r>
        <w:rPr>
          <w:rFonts w:hint="eastAsia"/>
          <w:lang w:eastAsia="zh-CN"/>
        </w:rPr>
        <w:t>。</w:t>
      </w:r>
      <w:r>
        <w:drawing>
          <wp:inline distT="0" distB="0" distL="114300" distR="114300">
            <wp:extent cx="5266690" cy="2063750"/>
            <wp:effectExtent l="0" t="0" r="635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6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评审委员会成员声明书，点击【确定】，并点击左上角【已阅读】按钮，确认完成。</w:t>
      </w:r>
    </w:p>
    <w:p>
      <w:pPr>
        <w:pStyle w:val="36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131695"/>
            <wp:effectExtent l="0" t="0" r="3175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填写评委基本信息，并录入签章。</w:t>
      </w:r>
    </w:p>
    <w:p>
      <w:pPr>
        <w:pStyle w:val="36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951230"/>
            <wp:effectExtent l="0" t="0" r="0" b="889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0"/>
        </w:tabs>
        <w:ind w:firstLine="0" w:firstLineChars="0"/>
      </w:pPr>
    </w:p>
    <w:p>
      <w:pPr>
        <w:numPr>
          <w:ilvl w:val="0"/>
          <w:numId w:val="6"/>
        </w:numPr>
        <w:ind w:left="0" w:leftChars="0" w:firstLine="420" w:firstLineChars="200"/>
        <w:jc w:val="left"/>
      </w:pPr>
      <w:r>
        <w:rPr>
          <w:rFonts w:hint="eastAsia"/>
          <w:lang w:val="en-US" w:eastAsia="zh-CN"/>
        </w:rPr>
        <w:t>推荐审查负责人。</w:t>
      </w:r>
    </w:p>
    <w:p>
      <w:pPr>
        <w:pStyle w:val="36"/>
      </w:pPr>
      <w:r>
        <w:drawing>
          <wp:inline distT="0" distB="0" distL="114300" distR="114300">
            <wp:extent cx="5262880" cy="1266190"/>
            <wp:effectExtent l="0" t="0" r="10160" b="139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6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点击【学习询价文件】可查看询价文件。</w:t>
      </w:r>
    </w:p>
    <w:p>
      <w:pPr>
        <w:pStyle w:val="36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131060"/>
            <wp:effectExtent l="0" t="0" r="12700" b="254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r>
        <w:rPr>
          <w:rFonts w:hint="eastAsia"/>
          <w:lang w:val="en-US" w:eastAsia="zh-CN"/>
        </w:rPr>
        <w:t>形式评审</w:t>
      </w:r>
    </w:p>
    <w:p>
      <w:pPr>
        <w:ind w:firstLine="431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jc w:val="left"/>
      </w:pPr>
      <w:r>
        <w:rPr>
          <w:rFonts w:hint="eastAsia"/>
        </w:rPr>
        <w:t>1、在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流程中</w:t>
      </w:r>
      <w:r>
        <w:rPr>
          <w:rFonts w:hint="eastAsia"/>
          <w:lang w:val="en-US" w:eastAsia="zh-CN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形式评审】</w:t>
      </w:r>
      <w:r>
        <w:rPr>
          <w:rFonts w:hint="eastAsia"/>
        </w:rPr>
        <w:t>按钮，进入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页面。如下图：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9230" cy="2363470"/>
            <wp:effectExtent l="0" t="0" r="3810" b="139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 w:firstLine="420" w:firstLineChars="200"/>
        <w:jc w:val="left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页面中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按单位打分”，</w:t>
      </w:r>
      <w:r>
        <w:rPr>
          <w:rFonts w:hint="eastAsia"/>
        </w:rPr>
        <w:t>通过点击箭头来进行投标单位切换，对所有投标单位进行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。点击左下角投标文件组成中的菜单，可在窗口中展示投标菜单内容，查看菜单内容进行对应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完成后，点击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添加保存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按钮，对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结果进行保存。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9865" cy="2395855"/>
            <wp:effectExtent l="0" t="0" r="3175" b="1206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“完整打分”中，可查看所有投标单位的报价文件，点击【查看询价文件】可打开询价文件对照评审，全部投标单位打完分后，点击【确认提交】按钮提交。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71770" cy="2505075"/>
            <wp:effectExtent l="0" t="0" r="1270" b="952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20" w:firstLineChars="200"/>
        <w:jc w:val="left"/>
        <w:rPr>
          <w:rFonts w:hint="eastAsia"/>
        </w:rPr>
      </w:pPr>
      <w:r>
        <w:rPr>
          <w:rFonts w:hint="eastAsia"/>
        </w:rPr>
        <w:t>所有评委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完成后，组长点击“</w:t>
      </w:r>
      <w:r>
        <w:rPr>
          <w:rFonts w:hint="eastAsia"/>
          <w:lang w:val="en-US" w:eastAsia="zh-CN"/>
        </w:rPr>
        <w:t>形式评审</w:t>
      </w:r>
      <w:r>
        <w:rPr>
          <w:rFonts w:hint="eastAsia"/>
        </w:rPr>
        <w:t>汇总”菜单，展示所有评分点评审情况，确认无误后点击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确定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按钮进行汇总。如果有评委评审错误，组长可以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评审汇总页面，点击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退回重评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按钮，退回给评委修改。如下图：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0975" cy="1817370"/>
            <wp:effectExtent l="0" t="0" r="12065" b="1143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</w:pPr>
    </w:p>
    <w:p>
      <w:pPr>
        <w:numPr>
          <w:ilvl w:val="0"/>
          <w:numId w:val="5"/>
        </w:numPr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如有需要否决的投标单位，组长点击“否决报价”菜单，点击要否决的单位，选择“否决报价节点”，输入否决报价原因，点击【否决报价】进行否决。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73040" cy="1638935"/>
            <wp:effectExtent l="0" t="0" r="0" b="698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5420" cy="1795780"/>
            <wp:effectExtent l="0" t="0" r="7620" b="254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Chars="0"/>
      </w:pPr>
      <w:r>
        <w:rPr>
          <w:rFonts w:hint="eastAsia"/>
          <w:lang w:val="en-US" w:eastAsia="zh-CN"/>
        </w:rPr>
        <w:t>2.3、</w:t>
      </w:r>
      <w:r>
        <w:rPr>
          <w:rFonts w:hint="eastAsia"/>
        </w:rPr>
        <w:t>资格评审</w:t>
      </w:r>
    </w:p>
    <w:p>
      <w:pPr>
        <w:ind w:firstLine="431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jc w:val="left"/>
      </w:pPr>
      <w:r>
        <w:rPr>
          <w:rFonts w:hint="eastAsia"/>
        </w:rPr>
        <w:t>1、在</w:t>
      </w:r>
      <w:r>
        <w:rPr>
          <w:rFonts w:hint="eastAsia"/>
          <w:lang w:eastAsia="zh-CN"/>
        </w:rPr>
        <w:t>评审</w:t>
      </w:r>
      <w:r>
        <w:rPr>
          <w:rFonts w:hint="eastAsia"/>
        </w:rPr>
        <w:t>流程中选择“资格评审”按钮，进入评审页面。如下图：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0975" cy="2089150"/>
            <wp:effectExtent l="0" t="0" r="12065" b="1397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numPr>
          <w:ilvl w:val="0"/>
          <w:numId w:val="0"/>
        </w:numPr>
        <w:ind w:leftChars="200" w:firstLine="420" w:firstLineChars="200"/>
        <w:jc w:val="left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页面中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按单位打分”，</w:t>
      </w:r>
      <w:r>
        <w:rPr>
          <w:rFonts w:hint="eastAsia"/>
        </w:rPr>
        <w:t>通过点击箭头来进行投标单位切换，对所有投标单位进行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。点击左下角投标文件组成中的菜单，可在窗口中展示投标菜单内容，查看菜单内容进行对应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完成后，点击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添加保存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按钮，对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结果进行保存。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9230" cy="2411730"/>
            <wp:effectExtent l="0" t="0" r="3810" b="1143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 w:firstLine="210" w:firstLine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3、在“完整打分”中，可查看所有投标单位的报价文件，点击【查看询价文件】可打开询价文件对照评审，全部投标单位打完分后，点击【确认提交】按钮提交。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71770" cy="2279015"/>
            <wp:effectExtent l="0" t="0" r="1270" b="698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 w:firstLine="210" w:firstLineChars="100"/>
        <w:jc w:val="left"/>
        <w:rPr>
          <w:rFonts w:hint="eastAsia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所有评委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完成后，组长点击“</w:t>
      </w:r>
      <w:r>
        <w:rPr>
          <w:rFonts w:hint="eastAsia"/>
          <w:lang w:val="en-US" w:eastAsia="zh-CN"/>
        </w:rPr>
        <w:t>资格评审</w:t>
      </w:r>
      <w:r>
        <w:rPr>
          <w:rFonts w:hint="eastAsia"/>
        </w:rPr>
        <w:t>汇总”菜单，展示所有评分点评审情况，确认无误后点击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确定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按钮进行汇总。如果有评委评审错误，组长可以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评审汇总页面，点击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退回重评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按钮，退回给评委修改。如下图：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4150" cy="1894205"/>
            <wp:effectExtent l="0" t="0" r="8890" b="1079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</w:pPr>
    </w:p>
    <w:p>
      <w:pPr>
        <w:numPr>
          <w:ilvl w:val="0"/>
          <w:numId w:val="0"/>
        </w:numPr>
        <w:ind w:leftChars="200" w:firstLine="210" w:firstLine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5、如有需要否决的投标单位，组长点击“否决报价”菜单，点击要否决的单位，选择“否决报价节点”，输入否决报价原因，点击【否决报价】进行否决。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70500" cy="1574165"/>
            <wp:effectExtent l="0" t="0" r="2540" b="1079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4785" cy="1935480"/>
            <wp:effectExtent l="0" t="0" r="8255" b="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Chars="0"/>
      </w:pPr>
      <w:r>
        <w:rPr>
          <w:rFonts w:hint="eastAsia"/>
          <w:lang w:val="en-US" w:eastAsia="zh-CN"/>
        </w:rPr>
        <w:t>2.4、响应性</w:t>
      </w:r>
      <w:r>
        <w:rPr>
          <w:rFonts w:hint="eastAsia"/>
        </w:rPr>
        <w:t>评审</w:t>
      </w:r>
    </w:p>
    <w:p>
      <w:pPr>
        <w:ind w:firstLine="431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jc w:val="left"/>
      </w:pPr>
      <w:r>
        <w:rPr>
          <w:rFonts w:hint="eastAsia"/>
        </w:rPr>
        <w:t>1、在</w:t>
      </w:r>
      <w:r>
        <w:rPr>
          <w:rFonts w:hint="eastAsia"/>
          <w:lang w:eastAsia="zh-CN"/>
        </w:rPr>
        <w:t>评审</w:t>
      </w:r>
      <w:r>
        <w:rPr>
          <w:rFonts w:hint="eastAsia"/>
        </w:rPr>
        <w:t>流程中选择“</w:t>
      </w:r>
      <w:r>
        <w:rPr>
          <w:rFonts w:hint="eastAsia"/>
          <w:lang w:val="en-US" w:eastAsia="zh-CN"/>
        </w:rPr>
        <w:t>响应性</w:t>
      </w:r>
      <w:r>
        <w:rPr>
          <w:rFonts w:hint="eastAsia"/>
        </w:rPr>
        <w:t>评审”按钮，进入评审页面。如下图：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9865" cy="2060575"/>
            <wp:effectExtent l="0" t="0" r="3175" b="1206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numPr>
          <w:ilvl w:val="0"/>
          <w:numId w:val="0"/>
        </w:numPr>
        <w:ind w:leftChars="200" w:firstLine="420" w:firstLineChars="200"/>
        <w:jc w:val="left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页面中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按单位打分”，</w:t>
      </w:r>
      <w:r>
        <w:rPr>
          <w:rFonts w:hint="eastAsia"/>
        </w:rPr>
        <w:t>通过点击箭头来进行投标单位切换，对所有投标单位进行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。点击左下角投标文件组成中的菜单，可在窗口中展示投标菜单内容，查看菜单内容进行对应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完成后，点击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添加保存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按钮，对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结果进行保存。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7960" cy="2344420"/>
            <wp:effectExtent l="0" t="0" r="5080" b="254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 w:firstLine="210" w:firstLine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3、在“完整打分”中，可查看所有投标单位的报价文件，点击【查看询价文件】可打开询价文件对照评审，全部投标单位打完分后，点击【确认提交】按钮提交。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4150" cy="2319020"/>
            <wp:effectExtent l="0" t="0" r="8890" b="1270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 w:firstLine="210" w:firstLineChars="100"/>
        <w:jc w:val="left"/>
        <w:rPr>
          <w:rFonts w:hint="eastAsia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所有评委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完成后，组长点击“</w:t>
      </w:r>
      <w:r>
        <w:rPr>
          <w:rFonts w:hint="eastAsia"/>
          <w:lang w:val="en-US" w:eastAsia="zh-CN"/>
        </w:rPr>
        <w:t>响应性评审</w:t>
      </w:r>
      <w:r>
        <w:rPr>
          <w:rFonts w:hint="eastAsia"/>
        </w:rPr>
        <w:t>汇总”菜单，展示所有评分点评审情况，确认无误后点击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确定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按钮进行汇总。如果有评委评审错误，组长可以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评审汇总页面，点击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退回重评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按钮，退回给评委修改。如下图：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4785" cy="1760855"/>
            <wp:effectExtent l="0" t="0" r="8255" b="698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</w:pPr>
    </w:p>
    <w:p>
      <w:pPr>
        <w:numPr>
          <w:ilvl w:val="0"/>
          <w:numId w:val="0"/>
        </w:numPr>
        <w:ind w:leftChars="200" w:firstLine="210" w:firstLine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5、如有需要否决的投标单位，组长点击“否决报价”菜单，点击要否决的单位，选择“否决报价节点”，输入否决报价原因，点击【否决报价】进行否决。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61610" cy="1661160"/>
            <wp:effectExtent l="0" t="0" r="11430" b="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eastAsia" w:eastAsia="思源宋体 CN Ligh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74310" cy="1939290"/>
            <wp:effectExtent l="0" t="0" r="13970" b="1143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2.5、审查</w:t>
      </w:r>
      <w:bookmarkStart w:id="11" w:name="_GoBack"/>
      <w:bookmarkEnd w:id="11"/>
      <w:r>
        <w:rPr>
          <w:rFonts w:hint="eastAsia"/>
          <w:lang w:val="en-US" w:eastAsia="zh-CN"/>
        </w:rPr>
        <w:t>结束</w:t>
      </w:r>
    </w:p>
    <w:p>
      <w:pPr>
        <w:ind w:firstLine="431"/>
        <w:rPr>
          <w:rFonts w:hint="eastAsia"/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7"/>
        </w:numPr>
        <w:ind w:firstLine="431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组长点击【审查结束】进入，点击“最终排名”查看排名。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055495"/>
            <wp:effectExtent l="0" t="0" r="635" b="190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1177925"/>
            <wp:effectExtent l="0" t="0" r="6985" b="1079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7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组长点击【推荐成交候选人】按钮推荐成交候选人，录入“评委评审意见”后点击【保存意见】保存。</w:t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113915"/>
            <wp:effectExtent l="0" t="0" r="2540" b="4445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15" w:leftChars="0"/>
        <w:jc w:val="left"/>
        <w:rPr>
          <w:rFonts w:hint="default"/>
          <w:lang w:val="en-US" w:eastAsia="zh-CN"/>
        </w:rPr>
      </w:pPr>
    </w:p>
    <w:p>
      <w:pPr>
        <w:ind w:firstLine="0" w:firstLineChars="0"/>
        <w:rPr>
          <w:bCs/>
        </w:rPr>
      </w:pPr>
    </w:p>
    <w:p>
      <w:pPr>
        <w:rPr>
          <w:bCs/>
        </w:rPr>
      </w:pPr>
      <w:r>
        <w:rPr>
          <w:rFonts w:hint="eastAsia"/>
          <w:bCs/>
          <w:lang w:val="en-US" w:eastAsia="zh-CN"/>
        </w:rPr>
        <w:t>3、评委勾选左边所有需要签章的节点，点击【批量签章】按钮，</w:t>
      </w:r>
      <w:r>
        <w:rPr>
          <w:rFonts w:hint="eastAsia"/>
          <w:bCs/>
        </w:rP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1758950"/>
            <wp:effectExtent l="0" t="0" r="13970" b="8890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ind w:left="210"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4、页面显示出来后，点击左上角【点击签章】按钮，显示“签章成功”，完成签章操作。</w:t>
      </w:r>
    </w:p>
    <w:p>
      <w:pPr>
        <w:pStyle w:val="36"/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999615"/>
            <wp:effectExtent l="0" t="0" r="8890" b="12065"/>
            <wp:docPr id="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ascii="思源宋体 CN Light" w:hAnsi="思源宋体 CN Light" w:cs="思源宋体 CN Light"/>
        </w:rPr>
      </w:pPr>
    </w:p>
    <w:sectPr>
      <w:footerReference r:id="rId7" w:type="default"/>
      <w:pgSz w:w="11906" w:h="16838"/>
      <w:pgMar w:top="1440" w:right="1800" w:bottom="1440" w:left="1800" w:header="624" w:footer="624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0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  <w:rPr>
        <w:rFonts w:eastAsia="思源宋体 CN ExtraLigh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wordWrap w:val="0"/>
      <w:snapToGrid w:val="0"/>
      <w:spacing w:line="240" w:lineRule="auto"/>
      <w:ind w:firstLine="0" w:firstLineChars="0"/>
      <w:jc w:val="right"/>
      <w:rPr>
        <w:rFonts w:hint="default" w:ascii="思源宋体 CN ExtraLight" w:hAnsi="思源宋体 CN ExtraLight" w:eastAsia="思源宋体 CN ExtraLight" w:cs="Times New Roman"/>
        <w:sz w:val="18"/>
        <w:szCs w:val="18"/>
        <w:lang w:val="en-US" w:eastAsia="zh-CN"/>
      </w:rPr>
    </w:pP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 xml:space="preserve">                             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begin"/>
    </w:r>
    <w:r>
      <w:rPr>
        <w:rFonts w:ascii="思源宋体 CN ExtraLight" w:hAnsi="思源宋体 CN ExtraLight" w:eastAsia="思源宋体 CN ExtraLight" w:cs="Times New Roman"/>
        <w:sz w:val="18"/>
        <w:szCs w:val="18"/>
      </w:rPr>
      <w:instrText xml:space="preserve"> PAGE </w:instrTex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separate"/>
    </w:r>
    <w:r>
      <w:rPr>
        <w:rFonts w:ascii="思源宋体 CN ExtraLight" w:hAnsi="思源宋体 CN ExtraLight" w:eastAsia="思源宋体 CN ExtraLight" w:cs="Times New Roman"/>
        <w:sz w:val="18"/>
        <w:szCs w:val="18"/>
      </w:rPr>
      <w:t>16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end"/>
    </w:r>
    <w:r>
      <w:rPr>
        <w:rFonts w:ascii="思源宋体 CN ExtraLight" w:hAnsi="思源宋体 CN ExtraLight" w:eastAsia="思源宋体 CN ExtraLight" w:cs="Times New Roman"/>
        <w:sz w:val="18"/>
        <w:szCs w:val="18"/>
        <w:lang w:val="zh-CN"/>
      </w:rPr>
      <w:t>/</w:t>
    </w:r>
    <w:r>
      <w:rPr>
        <w:rFonts w:hint="eastAsia" w:ascii="思源宋体 CN ExtraLight" w:hAnsi="思源宋体 CN ExtraLight" w:eastAsia="思源宋体 CN ExtraLight" w:cs="Times New Roman"/>
        <w:sz w:val="18"/>
        <w:szCs w:val="18"/>
        <w:lang w:val="en-US" w:eastAsia="zh-CN"/>
      </w:rPr>
      <w:t>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3970"/>
          <wp:docPr id="9" name="图片 2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 xml:space="preserve">    </w:t>
    </w:r>
    <w:r>
      <w:rPr>
        <w:rFonts w:hint="eastAsia" w:ascii="宋体" w:hAnsi="宋体"/>
        <w:b/>
        <w:bCs/>
        <w:lang w:val="en-US" w:eastAsia="zh-CN"/>
      </w:rPr>
      <w:t xml:space="preserve"> </w:t>
    </w:r>
    <w:r>
      <w:rPr>
        <w:rFonts w:hint="eastAsia" w:ascii="宋体" w:hAnsi="宋体"/>
        <w:b/>
        <w:bCs/>
        <w:color w:val="FF0000"/>
        <w:lang w:val="en-US" w:eastAsia="zh-CN"/>
      </w:rPr>
      <w:t>评委询价采购操作手册     联系方式：400 101 5550（宋工）   QQ：416634638</w:t>
    </w:r>
    <w:r>
      <w:rPr>
        <w:rFonts w:hint="eastAsia" w:ascii="宋体" w:hAnsi="宋体"/>
        <w:b/>
        <w:bCs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339929"/>
    <w:multiLevelType w:val="multilevel"/>
    <w:tmpl w:val="B1339929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decimal"/>
      <w:isLgl/>
      <w:lvlText w:val="%1.%2、"/>
      <w:lvlJc w:val="left"/>
      <w:pPr>
        <w:tabs>
          <w:tab w:val="left" w:pos="420"/>
        </w:tabs>
        <w:ind w:left="0" w:firstLine="0"/>
      </w:pPr>
      <w:rPr>
        <w:rFonts w:hint="eastAsia" w:ascii="Times New Roman" w:hAnsi="Times New Roman" w:eastAsia="宋体" w:cs="宋体"/>
      </w:rPr>
    </w:lvl>
    <w:lvl w:ilvl="2" w:tentative="0">
      <w:start w:val="1"/>
      <w:numFmt w:val="decimal"/>
      <w:isLgl/>
      <w:lvlText w:val="%1.%2.%3、"/>
      <w:lvlJc w:val="left"/>
      <w:pPr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isLgl/>
      <w:lvlText w:val="%1.%2.%3.%4、"/>
      <w:lvlJc w:val="left"/>
      <w:pPr>
        <w:ind w:left="864" w:hanging="864"/>
      </w:pPr>
      <w:rPr>
        <w:rFonts w:hint="eastAsia" w:ascii="宋体" w:hAnsi="宋体" w:eastAsia="宋体" w:cs="宋体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D8BA6273"/>
    <w:multiLevelType w:val="multilevel"/>
    <w:tmpl w:val="D8BA6273"/>
    <w:lvl w:ilvl="0" w:tentative="0">
      <w:start w:val="1"/>
      <w:numFmt w:val="chineseCounting"/>
      <w:pStyle w:val="4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宋体" w:cs="宋体"/>
        <w:b/>
        <w:i w:val="0"/>
        <w:sz w:val="32"/>
      </w:rPr>
    </w:lvl>
    <w:lvl w:ilvl="1" w:tentative="0">
      <w:start w:val="1"/>
      <w:numFmt w:val="decimal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宋体"/>
        <w:b/>
        <w:i w:val="0"/>
        <w:sz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宋体"/>
        <w:b/>
        <w:i w:val="0"/>
        <w:snapToGrid w:val="0"/>
        <w:spacing w:val="0"/>
        <w:kern w:val="0"/>
        <w:sz w:val="28"/>
      </w:rPr>
    </w:lvl>
    <w:lvl w:ilvl="3" w:tentative="0">
      <w:start w:val="1"/>
      <w:numFmt w:val="decimal"/>
      <w:isLgl/>
      <w:suff w:val="nothing"/>
      <w:lvlText w:val="%1.%2.%3.%4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宋体"/>
        <w:b/>
        <w:i w:val="0"/>
        <w:sz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0" w:firstLine="0"/>
      </w:pPr>
      <w:rPr>
        <w:rFonts w:hint="eastAsia" w:ascii="宋体" w:hAnsi="宋体" w:eastAsia="宋体" w:cs="宋体"/>
        <w:b/>
        <w:i w:val="0"/>
        <w:sz w:val="21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2411" w:hanging="1134"/>
      </w:pPr>
      <w:rPr>
        <w:rFonts w:hint="eastAsia" w:ascii="Times New Roman" w:hAnsi="Times New Roman" w:eastAsia="宋体"/>
        <w:b w:val="0"/>
        <w:i w:val="0"/>
        <w:sz w:val="21"/>
      </w:rPr>
    </w:lvl>
    <w:lvl w:ilvl="6" w:tentative="0">
      <w:start w:val="1"/>
      <w:numFmt w:val="decimal"/>
      <w:lvlText w:val="%1.%2.%3.%4.%5.%6.%7"/>
      <w:lvlJc w:val="left"/>
      <w:pPr>
        <w:ind w:left="1277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277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277" w:firstLine="0"/>
      </w:pPr>
      <w:rPr>
        <w:rFonts w:hint="eastAsia"/>
      </w:rPr>
    </w:lvl>
  </w:abstractNum>
  <w:abstractNum w:abstractNumId="2">
    <w:nsid w:val="F7C53049"/>
    <w:multiLevelType w:val="multilevel"/>
    <w:tmpl w:val="F7C53049"/>
    <w:lvl w:ilvl="0" w:tentative="0">
      <w:start w:val="1"/>
      <w:numFmt w:val="chineseCountingThousand"/>
      <w:lvlText w:val="第%1章"/>
      <w:lvlJc w:val="left"/>
      <w:pPr>
        <w:tabs>
          <w:tab w:val="left" w:pos="641"/>
        </w:tabs>
        <w:ind w:left="641" w:hanging="641"/>
      </w:pPr>
      <w:rPr>
        <w:rFonts w:hint="eastAsia"/>
        <w:sz w:val="32"/>
        <w:szCs w:val="32"/>
      </w:rPr>
    </w:lvl>
    <w:lvl w:ilvl="1" w:tentative="0">
      <w:start w:val="1"/>
      <w:numFmt w:val="decimal"/>
      <w:lvlText w:val="%2."/>
      <w:lvlJc w:val="left"/>
      <w:pPr>
        <w:tabs>
          <w:tab w:val="left" w:pos="839"/>
        </w:tabs>
        <w:ind w:left="839" w:hanging="641"/>
      </w:pPr>
      <w:rPr>
        <w:rFonts w:hint="eastAsia"/>
      </w:rPr>
    </w:lvl>
    <w:lvl w:ilvl="2" w:tentative="0">
      <w:start w:val="1"/>
      <w:numFmt w:val="decimal"/>
      <w:lvlRestart w:val="1"/>
      <w:isLgl/>
      <w:lvlText w:val="%1.%3."/>
      <w:lvlJc w:val="left"/>
      <w:pPr>
        <w:tabs>
          <w:tab w:val="left" w:pos="1049"/>
        </w:tabs>
        <w:ind w:left="1049" w:hanging="851"/>
      </w:pPr>
      <w:rPr>
        <w:rFonts w:hint="eastAsia"/>
      </w:rPr>
    </w:lvl>
    <w:lvl w:ilvl="3" w:tentative="0">
      <w:start w:val="1"/>
      <w:numFmt w:val="decimal"/>
      <w:isLgl/>
      <w:lvlText w:val="%1.%3.%4."/>
      <w:lvlJc w:val="left"/>
      <w:pPr>
        <w:tabs>
          <w:tab w:val="left" w:pos="2054"/>
        </w:tabs>
        <w:ind w:left="2054" w:hanging="1061"/>
      </w:pPr>
      <w:rPr>
        <w:rFonts w:hint="eastAsia"/>
      </w:rPr>
    </w:lvl>
    <w:lvl w:ilvl="4" w:tentative="0">
      <w:start w:val="1"/>
      <w:numFmt w:val="decimal"/>
      <w:isLgl/>
      <w:lvlText w:val="%1.%3.%4.%5."/>
      <w:lvlJc w:val="left"/>
      <w:pPr>
        <w:tabs>
          <w:tab w:val="left" w:pos="1469"/>
        </w:tabs>
        <w:ind w:left="1469" w:hanging="1271"/>
      </w:pPr>
      <w:rPr>
        <w:rFonts w:hint="eastAsia"/>
      </w:rPr>
    </w:lvl>
    <w:lvl w:ilvl="5" w:tentative="0">
      <w:start w:val="1"/>
      <w:numFmt w:val="decimal"/>
      <w:lvlText w:val="%6."/>
      <w:lvlJc w:val="left"/>
      <w:pPr>
        <w:tabs>
          <w:tab w:val="left" w:pos="837"/>
        </w:tabs>
        <w:ind w:left="837" w:hanging="419"/>
      </w:pPr>
      <w:rPr>
        <w:rFonts w:hint="eastAsia"/>
      </w:rPr>
    </w:lvl>
    <w:lvl w:ilvl="6" w:tentative="0">
      <w:start w:val="1"/>
      <w:numFmt w:val="decimal"/>
      <w:pStyle w:val="8"/>
      <w:lvlText w:val="%7)"/>
      <w:lvlJc w:val="left"/>
      <w:pPr>
        <w:tabs>
          <w:tab w:val="left" w:pos="1257"/>
        </w:tabs>
        <w:ind w:left="1257" w:hanging="420"/>
      </w:pPr>
      <w:rPr>
        <w:rFonts w:hint="eastAsia"/>
      </w:rPr>
    </w:lvl>
    <w:lvl w:ilvl="7" w:tentative="0">
      <w:start w:val="1"/>
      <w:numFmt w:val="decimalEnclosedCircle"/>
      <w:pStyle w:val="9"/>
      <w:lvlText w:val="%8."/>
      <w:lvlJc w:val="left"/>
      <w:pPr>
        <w:tabs>
          <w:tab w:val="left" w:pos="1678"/>
        </w:tabs>
        <w:ind w:left="1678" w:hanging="419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757"/>
        </w:tabs>
        <w:ind w:left="1757" w:hanging="1559"/>
      </w:pPr>
      <w:rPr>
        <w:rFonts w:hint="eastAsia"/>
      </w:rPr>
    </w:lvl>
  </w:abstractNum>
  <w:abstractNum w:abstractNumId="3">
    <w:nsid w:val="FEA639FD"/>
    <w:multiLevelType w:val="singleLevel"/>
    <w:tmpl w:val="FEA639FD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2BB6860C"/>
    <w:multiLevelType w:val="multilevel"/>
    <w:tmpl w:val="2BB6860C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5">
    <w:nsid w:val="38F0C960"/>
    <w:multiLevelType w:val="multilevel"/>
    <w:tmpl w:val="38F0C960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宋体"/>
        <w:b/>
        <w:i w:val="0"/>
        <w:sz w:val="32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宋体"/>
        <w:b/>
        <w:i w:val="0"/>
        <w:sz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宋体"/>
        <w:b/>
        <w:i w:val="0"/>
        <w:snapToGrid w:val="0"/>
        <w:spacing w:val="0"/>
        <w:kern w:val="0"/>
        <w:sz w:val="28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/>
        <w:b/>
        <w:i w:val="0"/>
        <w:sz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2269" w:hanging="992"/>
      </w:pPr>
      <w:rPr>
        <w:rFonts w:hint="eastAsia" w:ascii="Times New Roman" w:hAnsi="Times New Roman" w:eastAsia="宋体"/>
        <w:b/>
        <w:i w:val="0"/>
        <w:sz w:val="21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2411" w:hanging="1134"/>
      </w:pPr>
      <w:rPr>
        <w:rFonts w:hint="eastAsia" w:ascii="Times New Roman" w:hAnsi="Times New Roman" w:eastAsia="宋体"/>
        <w:b w:val="0"/>
        <w:i w:val="0"/>
        <w:sz w:val="21"/>
      </w:rPr>
    </w:lvl>
    <w:lvl w:ilvl="6" w:tentative="0">
      <w:start w:val="1"/>
      <w:numFmt w:val="decimal"/>
      <w:lvlText w:val="%1.%2.%3.%4.%5.%6.%7"/>
      <w:lvlJc w:val="left"/>
      <w:pPr>
        <w:ind w:left="1277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277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277" w:firstLine="0"/>
      </w:pPr>
      <w:rPr>
        <w:rFonts w:hint="eastAsia"/>
      </w:rPr>
    </w:lvl>
  </w:abstractNum>
  <w:abstractNum w:abstractNumId="6">
    <w:nsid w:val="5C3E4BC1"/>
    <w:multiLevelType w:val="singleLevel"/>
    <w:tmpl w:val="5C3E4BC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iNTE3MDRhYTA1YTUxMzc0MzQzOWZhZTVlOTk1NWQifQ=="/>
  </w:docVars>
  <w:rsids>
    <w:rsidRoot w:val="00276EC0"/>
    <w:rsid w:val="000B6B45"/>
    <w:rsid w:val="00133B96"/>
    <w:rsid w:val="001B5AB0"/>
    <w:rsid w:val="00276EC0"/>
    <w:rsid w:val="00326869"/>
    <w:rsid w:val="003522A6"/>
    <w:rsid w:val="003F26A0"/>
    <w:rsid w:val="0059164B"/>
    <w:rsid w:val="006914FF"/>
    <w:rsid w:val="007F1BC8"/>
    <w:rsid w:val="00880FAA"/>
    <w:rsid w:val="00AB0B78"/>
    <w:rsid w:val="00C14A61"/>
    <w:rsid w:val="00C33EB3"/>
    <w:rsid w:val="00CC34DA"/>
    <w:rsid w:val="00E20693"/>
    <w:rsid w:val="00E22F63"/>
    <w:rsid w:val="0160358D"/>
    <w:rsid w:val="01FA47FF"/>
    <w:rsid w:val="02101F44"/>
    <w:rsid w:val="025A529E"/>
    <w:rsid w:val="027065D6"/>
    <w:rsid w:val="029429C0"/>
    <w:rsid w:val="02ED7D40"/>
    <w:rsid w:val="031A2EF3"/>
    <w:rsid w:val="03656E42"/>
    <w:rsid w:val="03FE0178"/>
    <w:rsid w:val="04266F69"/>
    <w:rsid w:val="04451A44"/>
    <w:rsid w:val="04BA531F"/>
    <w:rsid w:val="04F072FB"/>
    <w:rsid w:val="055A7363"/>
    <w:rsid w:val="05687CD1"/>
    <w:rsid w:val="06D81E4F"/>
    <w:rsid w:val="06D84AD0"/>
    <w:rsid w:val="06FA2BAB"/>
    <w:rsid w:val="0728596A"/>
    <w:rsid w:val="07DB09B2"/>
    <w:rsid w:val="07E61381"/>
    <w:rsid w:val="07F115CB"/>
    <w:rsid w:val="083E11BD"/>
    <w:rsid w:val="08A309C4"/>
    <w:rsid w:val="08EC3549"/>
    <w:rsid w:val="094B1DE4"/>
    <w:rsid w:val="0A09177D"/>
    <w:rsid w:val="0A323ABA"/>
    <w:rsid w:val="0AFE42DF"/>
    <w:rsid w:val="0B070A5E"/>
    <w:rsid w:val="0B512FB6"/>
    <w:rsid w:val="0B6F55A6"/>
    <w:rsid w:val="0B972534"/>
    <w:rsid w:val="0C2C241F"/>
    <w:rsid w:val="0C5A1091"/>
    <w:rsid w:val="0CF32576"/>
    <w:rsid w:val="0D4C1C87"/>
    <w:rsid w:val="0DDB1A0E"/>
    <w:rsid w:val="0EA16002"/>
    <w:rsid w:val="0EC22051"/>
    <w:rsid w:val="0F0046FF"/>
    <w:rsid w:val="109E1FBA"/>
    <w:rsid w:val="10CE3FB8"/>
    <w:rsid w:val="1111746F"/>
    <w:rsid w:val="11402872"/>
    <w:rsid w:val="11850FF5"/>
    <w:rsid w:val="123E49F7"/>
    <w:rsid w:val="12C30C3D"/>
    <w:rsid w:val="133B7881"/>
    <w:rsid w:val="134C6C96"/>
    <w:rsid w:val="13B660AC"/>
    <w:rsid w:val="14824D61"/>
    <w:rsid w:val="1486688F"/>
    <w:rsid w:val="154B2D39"/>
    <w:rsid w:val="158B2C1A"/>
    <w:rsid w:val="159B37AB"/>
    <w:rsid w:val="161D68B6"/>
    <w:rsid w:val="16503151"/>
    <w:rsid w:val="16585B40"/>
    <w:rsid w:val="16594E1B"/>
    <w:rsid w:val="165B65E9"/>
    <w:rsid w:val="166138EB"/>
    <w:rsid w:val="168005A9"/>
    <w:rsid w:val="173376FF"/>
    <w:rsid w:val="17C0399D"/>
    <w:rsid w:val="1901601B"/>
    <w:rsid w:val="196B1CFB"/>
    <w:rsid w:val="19B36621"/>
    <w:rsid w:val="19DE008F"/>
    <w:rsid w:val="1BB05AD7"/>
    <w:rsid w:val="1BCD48DA"/>
    <w:rsid w:val="1C4050AC"/>
    <w:rsid w:val="1C5C2B4E"/>
    <w:rsid w:val="1CFF32CC"/>
    <w:rsid w:val="1D3249F5"/>
    <w:rsid w:val="1D48417D"/>
    <w:rsid w:val="1D4A728D"/>
    <w:rsid w:val="1DD866E2"/>
    <w:rsid w:val="1E2E46BF"/>
    <w:rsid w:val="1E5B1573"/>
    <w:rsid w:val="1E5D40E4"/>
    <w:rsid w:val="1EB53B30"/>
    <w:rsid w:val="1EC91389"/>
    <w:rsid w:val="1F132C50"/>
    <w:rsid w:val="1FF50F8D"/>
    <w:rsid w:val="1FFE2979"/>
    <w:rsid w:val="20250841"/>
    <w:rsid w:val="209371C1"/>
    <w:rsid w:val="20CE2C87"/>
    <w:rsid w:val="20D63111"/>
    <w:rsid w:val="21187848"/>
    <w:rsid w:val="2164632A"/>
    <w:rsid w:val="21690C01"/>
    <w:rsid w:val="216F760C"/>
    <w:rsid w:val="221B1006"/>
    <w:rsid w:val="22403CDB"/>
    <w:rsid w:val="22944D08"/>
    <w:rsid w:val="22B95A70"/>
    <w:rsid w:val="22CF2CE6"/>
    <w:rsid w:val="22F17557"/>
    <w:rsid w:val="23C73FFA"/>
    <w:rsid w:val="249D36CA"/>
    <w:rsid w:val="24D33E64"/>
    <w:rsid w:val="25724E31"/>
    <w:rsid w:val="2620390A"/>
    <w:rsid w:val="265005E2"/>
    <w:rsid w:val="27110EAB"/>
    <w:rsid w:val="27260B36"/>
    <w:rsid w:val="28520641"/>
    <w:rsid w:val="28577A06"/>
    <w:rsid w:val="285E6FE6"/>
    <w:rsid w:val="28E4472C"/>
    <w:rsid w:val="29226CED"/>
    <w:rsid w:val="2943636D"/>
    <w:rsid w:val="29D37560"/>
    <w:rsid w:val="2AC4736E"/>
    <w:rsid w:val="2B5A3EBA"/>
    <w:rsid w:val="2C92092B"/>
    <w:rsid w:val="2CD750AA"/>
    <w:rsid w:val="2D1E213B"/>
    <w:rsid w:val="2E456552"/>
    <w:rsid w:val="2E457C35"/>
    <w:rsid w:val="2E6E5AA9"/>
    <w:rsid w:val="2EBA484A"/>
    <w:rsid w:val="2ECF16EB"/>
    <w:rsid w:val="2F3F643D"/>
    <w:rsid w:val="2F6B3D97"/>
    <w:rsid w:val="2FD302BA"/>
    <w:rsid w:val="305C369C"/>
    <w:rsid w:val="31097D0B"/>
    <w:rsid w:val="314D7BF8"/>
    <w:rsid w:val="317D56E1"/>
    <w:rsid w:val="327079CD"/>
    <w:rsid w:val="32B14FAE"/>
    <w:rsid w:val="33044836"/>
    <w:rsid w:val="33701575"/>
    <w:rsid w:val="33AA1331"/>
    <w:rsid w:val="3422536C"/>
    <w:rsid w:val="35530C59"/>
    <w:rsid w:val="357164BB"/>
    <w:rsid w:val="35A16764"/>
    <w:rsid w:val="35B56CC4"/>
    <w:rsid w:val="35C43B75"/>
    <w:rsid w:val="35F374C5"/>
    <w:rsid w:val="36127662"/>
    <w:rsid w:val="367E4C5A"/>
    <w:rsid w:val="367F55E7"/>
    <w:rsid w:val="374C59AF"/>
    <w:rsid w:val="375021F0"/>
    <w:rsid w:val="37B31CC9"/>
    <w:rsid w:val="38FA264C"/>
    <w:rsid w:val="391B2F6D"/>
    <w:rsid w:val="39513C9C"/>
    <w:rsid w:val="39665CFB"/>
    <w:rsid w:val="398E5251"/>
    <w:rsid w:val="3A1E65D5"/>
    <w:rsid w:val="3A287FFA"/>
    <w:rsid w:val="3A553838"/>
    <w:rsid w:val="3AA84E07"/>
    <w:rsid w:val="3AAD6AEF"/>
    <w:rsid w:val="3ABC4369"/>
    <w:rsid w:val="3B135A0E"/>
    <w:rsid w:val="3B696312"/>
    <w:rsid w:val="3BEC625F"/>
    <w:rsid w:val="3C37397E"/>
    <w:rsid w:val="3D6805FB"/>
    <w:rsid w:val="3D967114"/>
    <w:rsid w:val="3DDD0555"/>
    <w:rsid w:val="3E6F07D1"/>
    <w:rsid w:val="3E921340"/>
    <w:rsid w:val="3EA454FD"/>
    <w:rsid w:val="3EA717D3"/>
    <w:rsid w:val="3EE603C2"/>
    <w:rsid w:val="3F114AD6"/>
    <w:rsid w:val="3F1679B2"/>
    <w:rsid w:val="3F442F49"/>
    <w:rsid w:val="3FA17A3A"/>
    <w:rsid w:val="401D732F"/>
    <w:rsid w:val="4030056F"/>
    <w:rsid w:val="4055272F"/>
    <w:rsid w:val="4099056D"/>
    <w:rsid w:val="40E2075F"/>
    <w:rsid w:val="40FF7EB2"/>
    <w:rsid w:val="41200E85"/>
    <w:rsid w:val="41EC3710"/>
    <w:rsid w:val="421A0B83"/>
    <w:rsid w:val="42C57F36"/>
    <w:rsid w:val="43A806E3"/>
    <w:rsid w:val="43CA5E2B"/>
    <w:rsid w:val="43F6370E"/>
    <w:rsid w:val="444B446B"/>
    <w:rsid w:val="44F20D8A"/>
    <w:rsid w:val="45745458"/>
    <w:rsid w:val="46AA2F9F"/>
    <w:rsid w:val="47332F94"/>
    <w:rsid w:val="47B24801"/>
    <w:rsid w:val="48A47904"/>
    <w:rsid w:val="49133C0D"/>
    <w:rsid w:val="494F64C8"/>
    <w:rsid w:val="4959441E"/>
    <w:rsid w:val="49DA26A5"/>
    <w:rsid w:val="4AB958D0"/>
    <w:rsid w:val="4AFA6D0A"/>
    <w:rsid w:val="4B0C130C"/>
    <w:rsid w:val="4B161F25"/>
    <w:rsid w:val="4B2257F9"/>
    <w:rsid w:val="4B3C4D2D"/>
    <w:rsid w:val="4B685F8D"/>
    <w:rsid w:val="4C016525"/>
    <w:rsid w:val="4C022DB6"/>
    <w:rsid w:val="4C336C95"/>
    <w:rsid w:val="4C633D3F"/>
    <w:rsid w:val="4C76404F"/>
    <w:rsid w:val="4CAF130F"/>
    <w:rsid w:val="4D2C0BB1"/>
    <w:rsid w:val="4D53308C"/>
    <w:rsid w:val="4D6420F9"/>
    <w:rsid w:val="4EA13E1D"/>
    <w:rsid w:val="4F18319B"/>
    <w:rsid w:val="4FE46912"/>
    <w:rsid w:val="506C5C01"/>
    <w:rsid w:val="50927EDA"/>
    <w:rsid w:val="50CC6933"/>
    <w:rsid w:val="50EC48E0"/>
    <w:rsid w:val="51281D55"/>
    <w:rsid w:val="518A72F6"/>
    <w:rsid w:val="51986B4F"/>
    <w:rsid w:val="51C15D6C"/>
    <w:rsid w:val="51CE2237"/>
    <w:rsid w:val="523955FA"/>
    <w:rsid w:val="525A0EF0"/>
    <w:rsid w:val="525F10E1"/>
    <w:rsid w:val="529D7DC6"/>
    <w:rsid w:val="539C1863"/>
    <w:rsid w:val="543021C7"/>
    <w:rsid w:val="543211F5"/>
    <w:rsid w:val="54931516"/>
    <w:rsid w:val="54A12E7B"/>
    <w:rsid w:val="54D77655"/>
    <w:rsid w:val="54EA382C"/>
    <w:rsid w:val="553D1B1D"/>
    <w:rsid w:val="5577601A"/>
    <w:rsid w:val="55A82D9F"/>
    <w:rsid w:val="563611BE"/>
    <w:rsid w:val="56665134"/>
    <w:rsid w:val="567C4B64"/>
    <w:rsid w:val="56BD37C6"/>
    <w:rsid w:val="575E22AF"/>
    <w:rsid w:val="57EA63E9"/>
    <w:rsid w:val="583151B0"/>
    <w:rsid w:val="584C2283"/>
    <w:rsid w:val="58985B3E"/>
    <w:rsid w:val="58C9112F"/>
    <w:rsid w:val="58F76517"/>
    <w:rsid w:val="59017396"/>
    <w:rsid w:val="593212FE"/>
    <w:rsid w:val="59352B9C"/>
    <w:rsid w:val="59835FFD"/>
    <w:rsid w:val="5A00575A"/>
    <w:rsid w:val="5A1218E8"/>
    <w:rsid w:val="5A20384C"/>
    <w:rsid w:val="5A80766E"/>
    <w:rsid w:val="5B5F2185"/>
    <w:rsid w:val="5C3842DD"/>
    <w:rsid w:val="5C3E0CC0"/>
    <w:rsid w:val="5C6A0DAE"/>
    <w:rsid w:val="5C797243"/>
    <w:rsid w:val="5CC60749"/>
    <w:rsid w:val="5D372FDE"/>
    <w:rsid w:val="5D3F4A3A"/>
    <w:rsid w:val="5DCF5854"/>
    <w:rsid w:val="5E0C65C1"/>
    <w:rsid w:val="5E2E15AB"/>
    <w:rsid w:val="5E4E3AC4"/>
    <w:rsid w:val="5E8D3C1A"/>
    <w:rsid w:val="5E8F2D4E"/>
    <w:rsid w:val="5EAB324C"/>
    <w:rsid w:val="5EC34C95"/>
    <w:rsid w:val="5F3F2F83"/>
    <w:rsid w:val="5FD76383"/>
    <w:rsid w:val="603E5B7A"/>
    <w:rsid w:val="60837676"/>
    <w:rsid w:val="60894991"/>
    <w:rsid w:val="60BF704A"/>
    <w:rsid w:val="60C43183"/>
    <w:rsid w:val="61217B34"/>
    <w:rsid w:val="6155027F"/>
    <w:rsid w:val="621C080B"/>
    <w:rsid w:val="623D3BF4"/>
    <w:rsid w:val="624D3512"/>
    <w:rsid w:val="627067A7"/>
    <w:rsid w:val="63073C66"/>
    <w:rsid w:val="632300A0"/>
    <w:rsid w:val="64202DC6"/>
    <w:rsid w:val="643423CE"/>
    <w:rsid w:val="64487E54"/>
    <w:rsid w:val="64F93617"/>
    <w:rsid w:val="650A63BE"/>
    <w:rsid w:val="65FF25D9"/>
    <w:rsid w:val="662911D5"/>
    <w:rsid w:val="668A0FC1"/>
    <w:rsid w:val="67311DA8"/>
    <w:rsid w:val="67776A09"/>
    <w:rsid w:val="67844B3C"/>
    <w:rsid w:val="67B20B28"/>
    <w:rsid w:val="680340E0"/>
    <w:rsid w:val="682F7047"/>
    <w:rsid w:val="68307CD3"/>
    <w:rsid w:val="683C0B04"/>
    <w:rsid w:val="688471B6"/>
    <w:rsid w:val="69535BCA"/>
    <w:rsid w:val="698E432E"/>
    <w:rsid w:val="6A364619"/>
    <w:rsid w:val="6A3A1702"/>
    <w:rsid w:val="6A570BC4"/>
    <w:rsid w:val="6A6E2B1C"/>
    <w:rsid w:val="6A981557"/>
    <w:rsid w:val="6AC029BD"/>
    <w:rsid w:val="6AF13D8B"/>
    <w:rsid w:val="6BA53BB1"/>
    <w:rsid w:val="6BB65AA8"/>
    <w:rsid w:val="6BF40D1C"/>
    <w:rsid w:val="6C07486C"/>
    <w:rsid w:val="6C952DF1"/>
    <w:rsid w:val="6CD93635"/>
    <w:rsid w:val="6D4519D7"/>
    <w:rsid w:val="6DBE1630"/>
    <w:rsid w:val="6DBE5BCE"/>
    <w:rsid w:val="6E011BB8"/>
    <w:rsid w:val="6E66347A"/>
    <w:rsid w:val="6E753D0F"/>
    <w:rsid w:val="6E7A24C7"/>
    <w:rsid w:val="6E7C32EF"/>
    <w:rsid w:val="6E825D78"/>
    <w:rsid w:val="6E874588"/>
    <w:rsid w:val="6EF56056"/>
    <w:rsid w:val="6F8A04D3"/>
    <w:rsid w:val="701423EB"/>
    <w:rsid w:val="70810331"/>
    <w:rsid w:val="71121A60"/>
    <w:rsid w:val="71160454"/>
    <w:rsid w:val="712437CA"/>
    <w:rsid w:val="7166670A"/>
    <w:rsid w:val="72190E55"/>
    <w:rsid w:val="72966949"/>
    <w:rsid w:val="7372332E"/>
    <w:rsid w:val="73926314"/>
    <w:rsid w:val="73CF6345"/>
    <w:rsid w:val="73F13E37"/>
    <w:rsid w:val="747915C9"/>
    <w:rsid w:val="74B133C4"/>
    <w:rsid w:val="752A64F7"/>
    <w:rsid w:val="758D37CE"/>
    <w:rsid w:val="75CC3053"/>
    <w:rsid w:val="76452F6E"/>
    <w:rsid w:val="76D417EE"/>
    <w:rsid w:val="76F97E70"/>
    <w:rsid w:val="77117A29"/>
    <w:rsid w:val="779108EB"/>
    <w:rsid w:val="77D4690F"/>
    <w:rsid w:val="7826478C"/>
    <w:rsid w:val="78DD498A"/>
    <w:rsid w:val="79C03DC2"/>
    <w:rsid w:val="7A0A4093"/>
    <w:rsid w:val="7A103957"/>
    <w:rsid w:val="7A30339F"/>
    <w:rsid w:val="7A5A025C"/>
    <w:rsid w:val="7A861422"/>
    <w:rsid w:val="7AB262C4"/>
    <w:rsid w:val="7AE60815"/>
    <w:rsid w:val="7BCB51B4"/>
    <w:rsid w:val="7D450D50"/>
    <w:rsid w:val="7D9443A4"/>
    <w:rsid w:val="7DAB0D71"/>
    <w:rsid w:val="7EA36676"/>
    <w:rsid w:val="7EC74905"/>
    <w:rsid w:val="7ECF11AC"/>
    <w:rsid w:val="7FCD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思源宋体 CN Light" w:hAnsi="思源宋体 CN Light" w:eastAsia="思源宋体 CN Light" w:cs="思源宋体 CN Light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8"/>
    <w:qFormat/>
    <w:uiPriority w:val="0"/>
    <w:pPr>
      <w:keepNext/>
      <w:numPr>
        <w:ilvl w:val="0"/>
        <w:numId w:val="1"/>
      </w:numPr>
      <w:spacing w:before="120" w:after="120"/>
      <w:ind w:firstLineChars="0"/>
      <w:outlineLvl w:val="0"/>
    </w:pPr>
    <w:rPr>
      <w:b/>
      <w:sz w:val="32"/>
    </w:rPr>
  </w:style>
  <w:style w:type="paragraph" w:styleId="3">
    <w:name w:val="heading 2"/>
    <w:basedOn w:val="1"/>
    <w:next w:val="1"/>
    <w:link w:val="39"/>
    <w:unhideWhenUsed/>
    <w:qFormat/>
    <w:uiPriority w:val="0"/>
    <w:pPr>
      <w:keepNext/>
      <w:keepLines/>
      <w:numPr>
        <w:ilvl w:val="1"/>
        <w:numId w:val="1"/>
      </w:numPr>
      <w:tabs>
        <w:tab w:val="left" w:pos="284"/>
        <w:tab w:val="clear" w:pos="0"/>
      </w:tabs>
      <w:spacing w:before="120" w:after="120"/>
      <w:ind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7"/>
    <w:unhideWhenUsed/>
    <w:qFormat/>
    <w:uiPriority w:val="0"/>
    <w:pPr>
      <w:keepNext/>
      <w:keepLines/>
      <w:numPr>
        <w:ilvl w:val="2"/>
        <w:numId w:val="1"/>
      </w:numPr>
      <w:adjustRightInd w:val="0"/>
      <w:spacing w:before="120" w:after="120"/>
      <w:ind w:firstLineChars="0"/>
      <w:outlineLvl w:val="2"/>
    </w:pPr>
    <w:rPr>
      <w:b/>
      <w:bCs/>
      <w:sz w:val="28"/>
    </w:rPr>
  </w:style>
  <w:style w:type="paragraph" w:styleId="5">
    <w:name w:val="heading 4"/>
    <w:basedOn w:val="1"/>
    <w:next w:val="1"/>
    <w:link w:val="40"/>
    <w:unhideWhenUsed/>
    <w:qFormat/>
    <w:uiPriority w:val="0"/>
    <w:pPr>
      <w:keepNext/>
      <w:keepLines/>
      <w:numPr>
        <w:ilvl w:val="3"/>
        <w:numId w:val="1"/>
      </w:numPr>
      <w:tabs>
        <w:tab w:val="left" w:pos="1440"/>
        <w:tab w:val="clear" w:pos="0"/>
      </w:tabs>
      <w:spacing w:before="120" w:after="120"/>
      <w:ind w:firstLineChars="0"/>
      <w:jc w:val="left"/>
      <w:outlineLvl w:val="3"/>
    </w:pPr>
    <w:rPr>
      <w:b/>
      <w:iCs/>
      <w:sz w:val="24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2"/>
      </w:numPr>
      <w:tabs>
        <w:tab w:val="left" w:pos="1469"/>
      </w:tabs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tabs>
        <w:tab w:val="left" w:pos="837"/>
      </w:tabs>
      <w:spacing w:before="240" w:after="64" w:line="317" w:lineRule="auto"/>
      <w:ind w:firstLine="0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3"/>
      </w:numPr>
      <w:spacing w:before="240" w:after="64" w:line="317" w:lineRule="auto"/>
      <w:ind w:firstLine="0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3"/>
      </w:numPr>
      <w:spacing w:before="240" w:after="64" w:line="317" w:lineRule="auto"/>
      <w:ind w:firstLine="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4"/>
      </w:numPr>
      <w:spacing w:before="240" w:after="64" w:line="317" w:lineRule="auto"/>
      <w:ind w:firstLine="0" w:firstLineChars="0"/>
      <w:outlineLvl w:val="8"/>
    </w:pPr>
    <w:rPr>
      <w:rFonts w:ascii="Arial" w:hAnsi="Arial" w:eastAsia="黑体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8"/>
    <w:qFormat/>
    <w:uiPriority w:val="0"/>
    <w:pPr>
      <w:jc w:val="left"/>
    </w:pPr>
  </w:style>
  <w:style w:type="paragraph" w:styleId="12">
    <w:name w:val="Body Text"/>
    <w:basedOn w:val="1"/>
    <w:qFormat/>
    <w:uiPriority w:val="0"/>
    <w:pPr>
      <w:ind w:firstLine="0" w:firstLineChars="0"/>
    </w:pPr>
    <w:rPr>
      <w:rFonts w:cs="Times New Roman"/>
      <w:kern w:val="0"/>
      <w:lang w:val="zh-CN"/>
    </w:rPr>
  </w:style>
  <w:style w:type="paragraph" w:styleId="13">
    <w:name w:val="Body Text Indent"/>
    <w:basedOn w:val="1"/>
    <w:qFormat/>
    <w:uiPriority w:val="0"/>
    <w:pPr>
      <w:spacing w:after="120"/>
      <w:ind w:left="420" w:leftChars="200"/>
    </w:pPr>
  </w:style>
  <w:style w:type="paragraph" w:styleId="14">
    <w:name w:val="toc 3"/>
    <w:basedOn w:val="1"/>
    <w:next w:val="1"/>
    <w:qFormat/>
    <w:uiPriority w:val="39"/>
    <w:pPr>
      <w:spacing w:line="240" w:lineRule="auto"/>
      <w:ind w:left="400" w:leftChars="400" w:firstLine="0" w:firstLineChars="0"/>
    </w:pPr>
  </w:style>
  <w:style w:type="paragraph" w:styleId="15">
    <w:name w:val="Balloon Text"/>
    <w:basedOn w:val="1"/>
    <w:link w:val="43"/>
    <w:qFormat/>
    <w:uiPriority w:val="0"/>
    <w:pPr>
      <w:spacing w:line="240" w:lineRule="auto"/>
    </w:pPr>
    <w:rPr>
      <w:sz w:val="18"/>
      <w:szCs w:val="18"/>
    </w:rPr>
  </w:style>
  <w:style w:type="paragraph" w:styleId="1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8">
    <w:name w:val="toc 1"/>
    <w:basedOn w:val="1"/>
    <w:next w:val="1"/>
    <w:qFormat/>
    <w:uiPriority w:val="39"/>
    <w:pPr>
      <w:spacing w:line="240" w:lineRule="auto"/>
      <w:ind w:firstLine="0" w:firstLineChars="0"/>
    </w:pPr>
  </w:style>
  <w:style w:type="paragraph" w:styleId="19">
    <w:name w:val="toc 2"/>
    <w:basedOn w:val="1"/>
    <w:next w:val="1"/>
    <w:qFormat/>
    <w:uiPriority w:val="39"/>
    <w:pPr>
      <w:spacing w:line="240" w:lineRule="auto"/>
      <w:ind w:left="200" w:leftChars="200" w:firstLine="0" w:firstLineChars="0"/>
    </w:pPr>
  </w:style>
  <w:style w:type="paragraph" w:styleId="20">
    <w:name w:val="annotation subject"/>
    <w:basedOn w:val="11"/>
    <w:next w:val="11"/>
    <w:link w:val="49"/>
    <w:qFormat/>
    <w:uiPriority w:val="0"/>
    <w:rPr>
      <w:b/>
      <w:bCs/>
    </w:rPr>
  </w:style>
  <w:style w:type="character" w:styleId="23">
    <w:name w:val="Strong"/>
    <w:basedOn w:val="22"/>
    <w:qFormat/>
    <w:uiPriority w:val="0"/>
    <w:rPr>
      <w:vertAlign w:val="baseline"/>
    </w:rPr>
  </w:style>
  <w:style w:type="character" w:styleId="24">
    <w:name w:val="FollowedHyperlink"/>
    <w:basedOn w:val="22"/>
    <w:qFormat/>
    <w:uiPriority w:val="0"/>
    <w:rPr>
      <w:color w:val="333333"/>
      <w:u w:val="none"/>
    </w:rPr>
  </w:style>
  <w:style w:type="character" w:styleId="25">
    <w:name w:val="Emphasis"/>
    <w:basedOn w:val="22"/>
    <w:qFormat/>
    <w:uiPriority w:val="0"/>
  </w:style>
  <w:style w:type="character" w:styleId="26">
    <w:name w:val="HTML Definition"/>
    <w:basedOn w:val="22"/>
    <w:qFormat/>
    <w:uiPriority w:val="0"/>
  </w:style>
  <w:style w:type="character" w:styleId="27">
    <w:name w:val="HTML Typewriter"/>
    <w:basedOn w:val="22"/>
    <w:qFormat/>
    <w:uiPriority w:val="0"/>
    <w:rPr>
      <w:rFonts w:hint="default" w:ascii="monospace" w:hAnsi="monospace" w:eastAsia="monospace" w:cs="monospace"/>
      <w:sz w:val="20"/>
    </w:rPr>
  </w:style>
  <w:style w:type="character" w:styleId="28">
    <w:name w:val="HTML Acronym"/>
    <w:basedOn w:val="22"/>
    <w:qFormat/>
    <w:uiPriority w:val="0"/>
  </w:style>
  <w:style w:type="character" w:styleId="29">
    <w:name w:val="HTML Variable"/>
    <w:basedOn w:val="22"/>
    <w:qFormat/>
    <w:uiPriority w:val="0"/>
  </w:style>
  <w:style w:type="character" w:styleId="30">
    <w:name w:val="Hyperlink"/>
    <w:basedOn w:val="2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1">
    <w:name w:val="HTML Code"/>
    <w:basedOn w:val="22"/>
    <w:qFormat/>
    <w:uiPriority w:val="0"/>
    <w:rPr>
      <w:rFonts w:ascii="monospace" w:hAnsi="monospace" w:eastAsia="monospace" w:cs="monospace"/>
      <w:sz w:val="20"/>
    </w:rPr>
  </w:style>
  <w:style w:type="character" w:styleId="32">
    <w:name w:val="annotation reference"/>
    <w:basedOn w:val="22"/>
    <w:qFormat/>
    <w:uiPriority w:val="0"/>
    <w:rPr>
      <w:sz w:val="21"/>
      <w:szCs w:val="21"/>
    </w:rPr>
  </w:style>
  <w:style w:type="character" w:styleId="33">
    <w:name w:val="HTML Cite"/>
    <w:basedOn w:val="22"/>
    <w:qFormat/>
    <w:uiPriority w:val="0"/>
  </w:style>
  <w:style w:type="character" w:styleId="34">
    <w:name w:val="HTML Keyboard"/>
    <w:basedOn w:val="22"/>
    <w:qFormat/>
    <w:uiPriority w:val="0"/>
    <w:rPr>
      <w:rFonts w:hint="default" w:ascii="monospace" w:hAnsi="monospace" w:eastAsia="monospace" w:cs="monospace"/>
      <w:sz w:val="20"/>
    </w:rPr>
  </w:style>
  <w:style w:type="character" w:styleId="35">
    <w:name w:val="HTML Sample"/>
    <w:basedOn w:val="22"/>
    <w:qFormat/>
    <w:uiPriority w:val="0"/>
    <w:rPr>
      <w:rFonts w:hint="default" w:ascii="monospace" w:hAnsi="monospace" w:eastAsia="monospace" w:cs="monospace"/>
    </w:rPr>
  </w:style>
  <w:style w:type="paragraph" w:customStyle="1" w:styleId="36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character" w:customStyle="1" w:styleId="37">
    <w:name w:val="标题 3 Char"/>
    <w:basedOn w:val="22"/>
    <w:link w:val="4"/>
    <w:qFormat/>
    <w:uiPriority w:val="9"/>
    <w:rPr>
      <w:rFonts w:ascii="思源宋体 CN Light" w:hAnsi="思源宋体 CN Light" w:eastAsia="思源宋体 CN Light" w:cs="Times New Roman"/>
      <w:b/>
      <w:bCs/>
      <w:sz w:val="28"/>
      <w:szCs w:val="24"/>
    </w:rPr>
  </w:style>
  <w:style w:type="character" w:customStyle="1" w:styleId="38">
    <w:name w:val="标题 1 Char"/>
    <w:basedOn w:val="22"/>
    <w:link w:val="2"/>
    <w:qFormat/>
    <w:uiPriority w:val="9"/>
    <w:rPr>
      <w:rFonts w:ascii="Times New Roman" w:hAnsi="Times New Roman" w:eastAsia="思源宋体 CN Light" w:cs="思源宋体 CN Light"/>
      <w:b/>
      <w:sz w:val="32"/>
      <w:szCs w:val="24"/>
    </w:rPr>
  </w:style>
  <w:style w:type="character" w:customStyle="1" w:styleId="39">
    <w:name w:val="标题 2 Char"/>
    <w:basedOn w:val="22"/>
    <w:link w:val="3"/>
    <w:qFormat/>
    <w:uiPriority w:val="9"/>
    <w:rPr>
      <w:rFonts w:ascii="思源宋体 CN Light" w:hAnsi="思源宋体 CN Light" w:eastAsia="思源宋体 CN Light" w:cs="Times New Roman"/>
      <w:b/>
      <w:bCs/>
      <w:sz w:val="30"/>
      <w:szCs w:val="32"/>
    </w:rPr>
  </w:style>
  <w:style w:type="character" w:customStyle="1" w:styleId="40">
    <w:name w:val="标题 4 Char"/>
    <w:basedOn w:val="22"/>
    <w:link w:val="5"/>
    <w:qFormat/>
    <w:uiPriority w:val="0"/>
    <w:rPr>
      <w:rFonts w:ascii="思源宋体 CN Light" w:hAnsi="思源宋体 CN Light" w:eastAsia="思源宋体 CN Light" w:cs="Times New Roman"/>
      <w:b/>
      <w:iCs/>
      <w:sz w:val="24"/>
      <w:szCs w:val="24"/>
    </w:rPr>
  </w:style>
  <w:style w:type="paragraph" w:customStyle="1" w:styleId="41">
    <w:name w:val="标题5"/>
    <w:basedOn w:val="1"/>
    <w:next w:val="1"/>
    <w:qFormat/>
    <w:uiPriority w:val="0"/>
    <w:pPr>
      <w:numPr>
        <w:ilvl w:val="0"/>
        <w:numId w:val="2"/>
      </w:numPr>
      <w:spacing w:before="120" w:after="120"/>
      <w:ind w:firstLineChars="0"/>
      <w:outlineLvl w:val="3"/>
    </w:pPr>
  </w:style>
  <w:style w:type="paragraph" w:styleId="42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3">
    <w:name w:val="批注框文本 Char"/>
    <w:basedOn w:val="22"/>
    <w:link w:val="15"/>
    <w:qFormat/>
    <w:uiPriority w:val="0"/>
    <w:rPr>
      <w:rFonts w:ascii="思源宋体 CN Light" w:hAnsi="思源宋体 CN Light" w:eastAsia="思源宋体 CN Light" w:cs="思源宋体 CN Light"/>
      <w:kern w:val="2"/>
      <w:sz w:val="18"/>
      <w:szCs w:val="18"/>
    </w:rPr>
  </w:style>
  <w:style w:type="paragraph" w:customStyle="1" w:styleId="44">
    <w:name w:val="TOC 标题1"/>
    <w:basedOn w:val="2"/>
    <w:next w:val="1"/>
    <w:unhideWhenUsed/>
    <w:qFormat/>
    <w:uiPriority w:val="39"/>
    <w:pPr>
      <w:keepLines/>
      <w:widowControl/>
      <w:numPr>
        <w:numId w:val="0"/>
      </w:numPr>
      <w:tabs>
        <w:tab w:val="clear" w:pos="0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  <w:style w:type="character" w:customStyle="1" w:styleId="45">
    <w:name w:val="hover"/>
    <w:basedOn w:val="22"/>
    <w:qFormat/>
    <w:uiPriority w:val="0"/>
    <w:rPr>
      <w:color w:val="2590EB"/>
    </w:rPr>
  </w:style>
  <w:style w:type="character" w:customStyle="1" w:styleId="46">
    <w:name w:val="hover1"/>
    <w:basedOn w:val="22"/>
    <w:qFormat/>
    <w:uiPriority w:val="0"/>
    <w:rPr>
      <w:color w:val="2590EB"/>
    </w:rPr>
  </w:style>
  <w:style w:type="character" w:customStyle="1" w:styleId="47">
    <w:name w:val="hover2"/>
    <w:basedOn w:val="22"/>
    <w:qFormat/>
    <w:uiPriority w:val="0"/>
  </w:style>
  <w:style w:type="character" w:customStyle="1" w:styleId="48">
    <w:name w:val="批注文字 Char"/>
    <w:basedOn w:val="22"/>
    <w:link w:val="11"/>
    <w:qFormat/>
    <w:uiPriority w:val="0"/>
    <w:rPr>
      <w:rFonts w:ascii="思源宋体 CN Light" w:hAnsi="思源宋体 CN Light" w:eastAsia="思源宋体 CN Light" w:cs="思源宋体 CN Light"/>
      <w:kern w:val="2"/>
      <w:sz w:val="21"/>
      <w:szCs w:val="24"/>
    </w:rPr>
  </w:style>
  <w:style w:type="character" w:customStyle="1" w:styleId="49">
    <w:name w:val="批注主题 Char"/>
    <w:basedOn w:val="48"/>
    <w:link w:val="20"/>
    <w:qFormat/>
    <w:uiPriority w:val="0"/>
    <w:rPr>
      <w:rFonts w:ascii="思源宋体 CN Light" w:hAnsi="思源宋体 CN Light" w:eastAsia="思源宋体 CN Light" w:cs="思源宋体 CN Light"/>
      <w:b/>
      <w:bCs/>
      <w:kern w:val="2"/>
      <w:sz w:val="21"/>
      <w:szCs w:val="24"/>
    </w:rPr>
  </w:style>
  <w:style w:type="paragraph" w:customStyle="1" w:styleId="50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1">
    <w:name w:val="toc标题"/>
    <w:basedOn w:val="1"/>
    <w:qFormat/>
    <w:uiPriority w:val="0"/>
    <w:pPr>
      <w:ind w:firstLine="0" w:firstLineChars="0"/>
      <w:jc w:val="center"/>
    </w:pPr>
    <w:rPr>
      <w:rFonts w:ascii="思源宋体 CN Light" w:hAnsi="思源宋体 CN Light" w:cs="思源宋体 CN Light"/>
      <w:b/>
      <w:spacing w:val="200"/>
      <w:sz w:val="32"/>
      <w:szCs w:val="32"/>
    </w:rPr>
  </w:style>
  <w:style w:type="paragraph" w:customStyle="1" w:styleId="5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53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numbering" Target="numbering.xml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97BCC-469A-45FB-9215-3F6BF9F0C3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692</Words>
  <Characters>3951</Characters>
  <Lines>32</Lines>
  <Paragraphs>9</Paragraphs>
  <TotalTime>38</TotalTime>
  <ScaleCrop>false</ScaleCrop>
  <LinksUpToDate>false</LinksUpToDate>
  <CharactersWithSpaces>4634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2020-03-04T02:36:00Z</dcterms:created>
  <dc:creator>Administrator</dc:creator>
  <cp:lastModifiedBy>深海幽蓝</cp:lastModifiedBy>
  <dcterms:modified xsi:type="dcterms:W3CDTF">2023-12-07T08:52:45Z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F578AF5C51F0484587D47E2F3DBE3898</vt:lpwstr>
  </property>
</Properties>
</file>