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outlineLvl w:val="0"/>
        <w:rPr>
          <w:rFonts w:ascii="思源黑体 CN Regular" w:hAnsi="思源黑体 CN Regular" w:eastAsia="思源黑体 CN Regular"/>
          <w:b/>
          <w:sz w:val="52"/>
          <w:szCs w:val="52"/>
        </w:rPr>
      </w:pPr>
      <w:bookmarkStart w:id="0" w:name="_Toc25715"/>
      <w:bookmarkStart w:id="1" w:name="_Toc8009"/>
      <w:bookmarkStart w:id="2" w:name="_Toc28989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北京大兴国际机场电子化采购平台</w:t>
      </w:r>
      <w:bookmarkEnd w:id="0"/>
      <w:bookmarkEnd w:id="1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  <w:bookmarkEnd w:id="2"/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  <w:bookmarkStart w:id="3" w:name="_Toc16348"/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/>
          <w:b/>
          <w:sz w:val="7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72"/>
          <w:szCs w:val="52"/>
          <w:lang w:val="en-US" w:eastAsia="zh-CN"/>
        </w:rPr>
        <w:t>竞谈</w:t>
      </w:r>
      <w:r>
        <w:rPr>
          <w:rFonts w:hint="eastAsia" w:ascii="思源黑体 CN Regular" w:hAnsi="思源黑体 CN Regular" w:eastAsia="思源黑体 CN Regular"/>
          <w:b/>
          <w:sz w:val="72"/>
          <w:szCs w:val="52"/>
        </w:rPr>
        <w:t>-</w:t>
      </w:r>
      <w:bookmarkEnd w:id="3"/>
      <w:r>
        <w:rPr>
          <w:rFonts w:hint="eastAsia" w:ascii="思源黑体 CN Regular" w:hAnsi="思源黑体 CN Regular" w:eastAsia="思源黑体 CN Regular"/>
          <w:b/>
          <w:sz w:val="72"/>
          <w:szCs w:val="52"/>
          <w:lang w:val="en-US" w:eastAsia="zh-CN"/>
        </w:rPr>
        <w:t>评委</w:t>
      </w: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3148965" cy="683895"/>
            <wp:effectExtent l="0" t="0" r="571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ascii="思源宋体 CN ExtraLight" w:hAnsi="思源宋体 CN ExtraLight" w:eastAsia="思源宋体 CN ExtraLight" w:cs="思源宋体 CN ExtraLigh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-198120</wp:posOffset>
            </wp:positionV>
            <wp:extent cx="3466465" cy="1764030"/>
            <wp:effectExtent l="0" t="0" r="8255" b="3810"/>
            <wp:wrapSquare wrapText="bothSides"/>
            <wp:docPr id="8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 descr="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center"/>
        <w:rPr>
          <w:rFonts w:ascii="Times New Roman" w:hAnsi="Times New Roman" w:eastAsia="黑体" w:cs="Times New Roman"/>
          <w:color w:val="FF0000"/>
          <w:sz w:val="32"/>
        </w:rPr>
      </w:pPr>
      <w:r>
        <w:rPr>
          <w:rFonts w:hint="default" w:ascii="Times New Roman" w:hAnsi="Times New Roman" w:eastAsia="黑体" w:cs="Times New Roman"/>
          <w:color w:val="FF0000"/>
          <w:sz w:val="32"/>
        </w:rPr>
        <w:t>技术支持：国泰新点软件股份有限公司</w:t>
      </w:r>
    </w:p>
    <w:p>
      <w:pPr>
        <w:tabs>
          <w:tab w:val="left" w:pos="6780"/>
        </w:tabs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  <w:r>
        <w:rPr>
          <w:rFonts w:hint="default" w:ascii="Times New Roman" w:hAnsi="Times New Roman" w:eastAsia="黑体" w:cs="Times New Roman"/>
          <w:color w:val="FF0000"/>
          <w:sz w:val="32"/>
        </w:rPr>
        <w:t xml:space="preserve"> </w:t>
      </w:r>
      <w:r>
        <w:rPr>
          <w:rFonts w:ascii="Times New Roman" w:hAnsi="Times New Roman" w:eastAsia="黑体" w:cs="Times New Roman"/>
          <w:color w:val="FF0000"/>
          <w:sz w:val="32"/>
        </w:rPr>
        <w:t xml:space="preserve">        </w:t>
      </w:r>
      <w:r>
        <w:rPr>
          <w:rFonts w:hint="default" w:ascii="Times New Roman" w:hAnsi="Times New Roman" w:eastAsia="黑体" w:cs="Times New Roman"/>
          <w:color w:val="FF0000"/>
          <w:sz w:val="32"/>
        </w:rPr>
        <w:t>联系方式：400 101 5550</w:t>
      </w:r>
    </w:p>
    <w:p>
      <w:pPr>
        <w:tabs>
          <w:tab w:val="left" w:pos="6780"/>
        </w:tabs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  <w:r>
        <w:rPr>
          <w:rFonts w:ascii="Times New Roman" w:hAnsi="Times New Roman" w:eastAsia="黑体" w:cs="Times New Roman"/>
          <w:color w:val="FF0000"/>
          <w:sz w:val="32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32"/>
        </w:rPr>
        <w:t>QQ：416634638</w:t>
      </w: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  <w:r>
        <w:rPr>
          <w:rFonts w:hint="default" w:ascii="Times New Roman" w:hAnsi="Times New Roman" w:eastAsia="黑体" w:cs="Times New Roman"/>
          <w:color w:val="FF0000"/>
          <w:sz w:val="32"/>
        </w:rPr>
        <w:t xml:space="preserve"> </w:t>
      </w:r>
      <w:r>
        <w:rPr>
          <w:rFonts w:ascii="Times New Roman" w:hAnsi="Times New Roman" w:eastAsia="黑体" w:cs="Times New Roman"/>
          <w:color w:val="FF0000"/>
          <w:sz w:val="32"/>
        </w:rPr>
        <w:t xml:space="preserve">        </w:t>
      </w:r>
      <w:r>
        <w:rPr>
          <w:rFonts w:hint="default" w:ascii="Times New Roman" w:hAnsi="Times New Roman" w:eastAsia="黑体" w:cs="Times New Roman"/>
          <w:color w:val="FF0000"/>
          <w:sz w:val="32"/>
        </w:rPr>
        <w:t>联系人：宋工</w:t>
      </w: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版 本 历 史</w:t>
      </w:r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ind w:firstLine="0" w:firstLineChars="0"/>
              <w:jc w:val="center"/>
              <w:rPr>
                <w:rFonts w:hint="eastAsia" w:eastAsia="思源宋体 CN Ligh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宋瑛</w:t>
            </w:r>
          </w:p>
        </w:tc>
        <w:tc>
          <w:tcPr>
            <w:tcW w:w="992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2268" w:type="dxa"/>
          </w:tcPr>
          <w:p>
            <w:pPr>
              <w:ind w:firstLine="0" w:firstLineChars="0"/>
              <w:jc w:val="center"/>
              <w:rPr>
                <w:rFonts w:hint="default" w:eastAsia="思源宋体 CN Ligh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.1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30</w:t>
            </w:r>
          </w:p>
        </w:tc>
        <w:tc>
          <w:tcPr>
            <w:tcW w:w="3169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ind w:firstLine="0" w:firstLineChars="0"/>
              <w:jc w:val="center"/>
              <w:rPr>
                <w:rFonts w:hint="default" w:eastAsia="思源宋体 CN Ligh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V1.1</w:t>
            </w:r>
          </w:p>
        </w:tc>
        <w:tc>
          <w:tcPr>
            <w:tcW w:w="851" w:type="dxa"/>
          </w:tcPr>
          <w:p>
            <w:pPr>
              <w:ind w:firstLine="0" w:firstLineChars="0"/>
              <w:jc w:val="left"/>
              <w:rPr>
                <w:rFonts w:hint="eastAsia"/>
                <w:szCs w:val="21"/>
              </w:rPr>
            </w:pPr>
          </w:p>
        </w:tc>
        <w:tc>
          <w:tcPr>
            <w:tcW w:w="992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2268" w:type="dxa"/>
          </w:tcPr>
          <w:p>
            <w:pPr>
              <w:ind w:firstLine="0" w:firstLineChars="0"/>
              <w:jc w:val="both"/>
              <w:rPr>
                <w:rFonts w:hint="default" w:eastAsia="思源宋体 CN Light"/>
                <w:szCs w:val="21"/>
                <w:lang w:val="en-US" w:eastAsia="zh-CN"/>
              </w:rPr>
            </w:pPr>
          </w:p>
        </w:tc>
        <w:tc>
          <w:tcPr>
            <w:tcW w:w="3169" w:type="dxa"/>
          </w:tcPr>
          <w:p>
            <w:pPr>
              <w:ind w:firstLine="0" w:firstLineChars="0"/>
              <w:jc w:val="center"/>
              <w:rPr>
                <w:rFonts w:hint="eastAsia" w:eastAsia="思源宋体 CN Light"/>
                <w:szCs w:val="21"/>
                <w:lang w:val="en-US" w:eastAsia="zh-CN"/>
              </w:rPr>
            </w:pPr>
          </w:p>
        </w:tc>
      </w:tr>
    </w:tbl>
    <w:p>
      <w:pPr>
        <w:ind w:left="420" w:firstLine="0" w:firstLineChars="0"/>
        <w:jc w:val="left"/>
      </w:pPr>
    </w:p>
    <w:p>
      <w:pPr>
        <w:ind w:left="420" w:firstLine="0" w:firstLineChars="0"/>
        <w:jc w:val="left"/>
      </w:pPr>
    </w:p>
    <w:p>
      <w:pPr>
        <w:pStyle w:val="12"/>
        <w:rPr>
          <w:rFonts w:cs="思源宋体 CN Light"/>
        </w:rPr>
      </w:pPr>
    </w:p>
    <w:p>
      <w:pPr>
        <w:pStyle w:val="12"/>
        <w:rPr>
          <w:rFonts w:cs="思源宋体 CN Light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</w:p>
    <w:p>
      <w:pPr>
        <w:pStyle w:val="51"/>
        <w:spacing w:line="240" w:lineRule="auto"/>
        <w:rPr>
          <w:rFonts w:hint="eastAsia"/>
        </w:rPr>
      </w:pPr>
      <w:r>
        <w:rPr>
          <w:rFonts w:hint="eastAsia"/>
        </w:rPr>
        <w:t>目录</w:t>
      </w:r>
    </w:p>
    <w:p>
      <w:pPr>
        <w:ind w:firstLine="0" w:firstLineChars="0"/>
        <w:jc w:val="center"/>
        <w:rPr>
          <w:rFonts w:hint="eastAsia" w:ascii="思源宋体 CN Light" w:hAnsi="思源宋体 CN Light" w:cs="思源宋体 CN Light"/>
          <w:b/>
          <w:spacing w:val="200"/>
          <w:sz w:val="32"/>
          <w:szCs w:val="32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</w:p>
    <w:p>
      <w:pPr>
        <w:pStyle w:val="52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 w:cs="Times New Roman"/>
          <w:b/>
        </w:rPr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rPr>
          <w:rFonts w:hint="default" w:ascii="Times New Roman" w:hAnsi="Times New Roman" w:cs="Times New Roman"/>
          <w:b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sz w:val="24"/>
          <w:szCs w:val="24"/>
        </w:rPr>
        <w:instrText xml:space="preserve"> HYPERLINK \l _Toc29654 </w:instrText>
      </w:r>
      <w:r>
        <w:rPr>
          <w:rFonts w:hint="default"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hint="default" w:ascii="Times New Roman" w:hAnsi="Times New Roman" w:eastAsia="思源宋体 CN ExtraLight" w:cs="Times New Roman"/>
          <w:b/>
          <w:bCs/>
          <w:sz w:val="24"/>
          <w:szCs w:val="24"/>
          <w:lang w:val="en-US" w:eastAsia="zh-CN"/>
        </w:rPr>
        <w:t>一、</w:t>
      </w:r>
      <w:r>
        <w:rPr>
          <w:rFonts w:hint="eastAsia" w:eastAsia="思源宋体 CN ExtraLight" w:cs="Times New Roman"/>
          <w:b/>
          <w:bCs/>
          <w:sz w:val="24"/>
          <w:szCs w:val="24"/>
          <w:lang w:val="en-US" w:eastAsia="zh-CN"/>
        </w:rPr>
        <w:t>评委登录</w:t>
      </w:r>
      <w:r>
        <w:rPr>
          <w:rFonts w:hint="default" w:ascii="Times New Roman" w:hAnsi="Times New Roman" w:cs="Times New Roman"/>
          <w:b/>
          <w:sz w:val="24"/>
          <w:szCs w:val="24"/>
        </w:rPr>
        <w:tab/>
      </w:r>
      <w:r>
        <w:rPr>
          <w:rFonts w:hint="eastAsia" w:cs="Times New Roman"/>
          <w:b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 w:val="24"/>
          <w:szCs w:val="24"/>
        </w:rP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_Toc9661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28"/>
          <w:lang w:val="en-US" w:eastAsia="zh-CN"/>
        </w:rPr>
        <w:t>1.1、</w:t>
      </w:r>
      <w:r>
        <w:rPr>
          <w:rFonts w:hint="eastAsia" w:ascii="宋体" w:hAnsi="宋体" w:cs="宋体"/>
          <w:bCs/>
          <w:szCs w:val="28"/>
          <w:lang w:val="en-US" w:eastAsia="zh-CN"/>
        </w:rPr>
        <w:t>账号登录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_Toc29439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28"/>
          <w:lang w:val="en-US" w:eastAsia="zh-CN"/>
        </w:rPr>
        <w:t>1.2、</w:t>
      </w:r>
      <w:r>
        <w:rPr>
          <w:rFonts w:hint="eastAsia" w:ascii="宋体" w:hAnsi="宋体" w:cs="宋体"/>
          <w:bCs/>
          <w:szCs w:val="28"/>
          <w:lang w:val="en-US" w:eastAsia="zh-CN"/>
        </w:rPr>
        <w:t>进入评审项目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52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HYPERLINK \l _Toc18217 </w:instrText>
      </w:r>
      <w:r>
        <w:rPr>
          <w:b/>
          <w:sz w:val="24"/>
          <w:szCs w:val="24"/>
        </w:rPr>
        <w:fldChar w:fldCharType="separate"/>
      </w:r>
      <w:r>
        <w:rPr>
          <w:rFonts w:hint="eastAsia"/>
          <w:b/>
          <w:sz w:val="24"/>
          <w:szCs w:val="24"/>
          <w:lang w:val="en-US" w:eastAsia="zh-CN"/>
        </w:rPr>
        <w:t>二、评委评审</w:t>
      </w:r>
      <w:r>
        <w:rPr>
          <w:b/>
          <w:sz w:val="24"/>
          <w:szCs w:val="24"/>
        </w:rPr>
        <w:tab/>
      </w:r>
      <w:r>
        <w:rPr>
          <w:rFonts w:hint="eastAsia"/>
          <w:b/>
          <w:sz w:val="24"/>
          <w:szCs w:val="24"/>
          <w:lang w:val="en-US" w:eastAsia="zh-CN"/>
        </w:rPr>
        <w:t>3</w:t>
      </w:r>
      <w:r>
        <w:rPr>
          <w:b/>
          <w:sz w:val="24"/>
          <w:szCs w:val="24"/>
        </w:rP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2.1、</w:t>
      </w:r>
      <w:r>
        <w:rPr>
          <w:rFonts w:hint="eastAsia" w:ascii="宋体" w:hAnsi="宋体" w:cs="宋体"/>
          <w:lang w:val="en-US" w:eastAsia="zh-CN"/>
        </w:rPr>
        <w:t>评审准备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初步评审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  <w:lang w:val="en-US" w:eastAsia="zh-CN"/>
        </w:rPr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谈判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综合评分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  <w:lang w:val="en-US" w:eastAsia="zh-CN"/>
        </w:rPr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5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评审结束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  <w:lang w:val="en-US" w:eastAsia="zh-CN"/>
        </w:rPr>
      </w:pPr>
      <w:bookmarkStart w:id="13" w:name="_GoBack"/>
      <w:bookmarkEnd w:id="13"/>
    </w:p>
    <w:p>
      <w:pPr>
        <w:pStyle w:val="36"/>
        <w:ind w:firstLine="0" w:firstLineChars="0"/>
        <w:rPr>
          <w:rFonts w:ascii="思源宋体 CN Light" w:hAnsi="思源宋体 CN Light" w:cs="思源宋体 CN Light"/>
        </w:rPr>
      </w:pPr>
      <w:r>
        <w:rPr>
          <w:b/>
        </w:rPr>
        <w:fldChar w:fldCharType="end"/>
      </w:r>
    </w:p>
    <w:p>
      <w:pPr>
        <w:pStyle w:val="36"/>
        <w:ind w:firstLine="42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br w:type="page"/>
      </w:r>
    </w:p>
    <w:p>
      <w:pPr>
        <w:pStyle w:val="2"/>
      </w:pPr>
      <w:bookmarkStart w:id="4" w:name="_Toc15582"/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</w:t>
      </w:r>
      <w:bookmarkEnd w:id="4"/>
    </w:p>
    <w:p>
      <w:pPr>
        <w:pStyle w:val="3"/>
      </w:pPr>
      <w:bookmarkStart w:id="5" w:name="_Toc13007"/>
      <w:r>
        <w:rPr>
          <w:rFonts w:hint="eastAsia"/>
        </w:rPr>
        <w:t>账号登录</w:t>
      </w:r>
      <w:bookmarkEnd w:id="5"/>
    </w:p>
    <w:p>
      <w:pPr>
        <w:pStyle w:val="11"/>
      </w:pPr>
      <w:r>
        <w:rPr>
          <w:rFonts w:hint="eastAsia"/>
        </w:rPr>
        <w:t>1、打开浏览器，进入北京大兴国际机场</w:t>
      </w:r>
      <w:r>
        <w:rPr>
          <w:rFonts w:hint="eastAsia"/>
          <w:lang w:val="en-US" w:eastAsia="zh-CN"/>
        </w:rPr>
        <w:t>电子化采购平台</w:t>
      </w:r>
      <w:r>
        <w:rPr>
          <w:rFonts w:hint="eastAsia"/>
        </w:rPr>
        <w:t>，选择评委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，输入账号密码后，点击登录，如下图：</w:t>
      </w:r>
    </w:p>
    <w:p>
      <w:pPr>
        <w:pStyle w:val="36"/>
        <w:ind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</w:pPr>
      <w:r>
        <w:drawing>
          <wp:inline distT="0" distB="0" distL="114300" distR="114300">
            <wp:extent cx="5265420" cy="2459355"/>
            <wp:effectExtent l="0" t="0" r="762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1089"/>
      <w:r>
        <w:rPr>
          <w:rFonts w:hint="eastAsia"/>
        </w:rPr>
        <w:t>进入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项目</w:t>
      </w:r>
      <w:bookmarkEnd w:id="6"/>
    </w:p>
    <w:p>
      <w:pPr>
        <w:numPr>
          <w:ilvl w:val="0"/>
          <w:numId w:val="5"/>
        </w:num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快捷导航】</w:t>
      </w:r>
      <w:r>
        <w:rPr>
          <w:rFonts w:hint="eastAsia"/>
        </w:rPr>
        <w:t>按钮，</w:t>
      </w:r>
      <w:r>
        <w:rPr>
          <w:rFonts w:hint="eastAsia"/>
          <w:lang w:val="en-US" w:eastAsia="zh-CN"/>
        </w:rPr>
        <w:t>选择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电子化采购平台】，点击左上角菜单，</w:t>
      </w:r>
      <w:r>
        <w:rPr>
          <w:rFonts w:hint="eastAsia"/>
        </w:rPr>
        <w:t>选择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开标评审系统】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61610" cy="2408555"/>
            <wp:effectExtent l="0" t="0" r="11430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选择【评委】角色，找到要评审的项目，点击【进入评审】按钮，再点击【进入项目】。</w:t>
      </w:r>
    </w:p>
    <w:p>
      <w:pPr>
        <w:pStyle w:val="36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7325" cy="1689100"/>
            <wp:effectExtent l="0" t="0" r="571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759460"/>
            <wp:effectExtent l="0" t="0" r="825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7" w:name="_Toc41915257"/>
      <w:bookmarkStart w:id="8" w:name="_Toc22838"/>
      <w:r>
        <w:rPr>
          <w:rFonts w:hint="eastAsia"/>
        </w:rPr>
        <w:t>评委</w:t>
      </w:r>
      <w:bookmarkEnd w:id="7"/>
      <w:r>
        <w:rPr>
          <w:rFonts w:hint="eastAsia"/>
          <w:lang w:eastAsia="zh-CN"/>
        </w:rPr>
        <w:t>评审</w:t>
      </w:r>
      <w:bookmarkEnd w:id="8"/>
    </w:p>
    <w:p>
      <w:pPr>
        <w:pStyle w:val="3"/>
      </w:pPr>
      <w:bookmarkStart w:id="9" w:name="_Toc41915258"/>
      <w:bookmarkStart w:id="10" w:name="_Toc22005"/>
      <w:r>
        <w:rPr>
          <w:rFonts w:hint="eastAsia"/>
          <w:lang w:val="en-US" w:eastAsia="zh-CN"/>
        </w:rPr>
        <w:t>评审</w:t>
      </w:r>
      <w:r>
        <w:rPr>
          <w:rFonts w:hint="eastAsia"/>
        </w:rPr>
        <w:t>准备</w:t>
      </w:r>
      <w:bookmarkEnd w:id="9"/>
      <w:bookmarkEnd w:id="10"/>
    </w:p>
    <w:p>
      <w:pPr>
        <w:widowControl/>
        <w:ind w:firstLine="431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6"/>
        </w:numPr>
        <w:jc w:val="left"/>
      </w:pPr>
      <w:r>
        <w:rPr>
          <w:rFonts w:hint="eastAsia"/>
        </w:rPr>
        <w:t>进入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项目后，点击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准备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准备页面</w:t>
      </w:r>
      <w:r>
        <w:rPr>
          <w:rFonts w:hint="eastAsia"/>
          <w:lang w:eastAsia="zh-CN"/>
        </w:rPr>
        <w:t>。</w:t>
      </w:r>
      <w:r>
        <w:drawing>
          <wp:inline distT="0" distB="0" distL="114300" distR="114300">
            <wp:extent cx="5266690" cy="2331085"/>
            <wp:effectExtent l="0" t="0" r="6350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6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谈判小组成员声明书，点击【确定】，并点击左上角【已阅读】按钮，确认完成。</w:t>
      </w:r>
    </w:p>
    <w:p>
      <w:pPr>
        <w:pStyle w:val="36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92350"/>
            <wp:effectExtent l="0" t="0" r="635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填写评委基本信息，并录入签章。</w:t>
      </w:r>
    </w:p>
    <w:p>
      <w:pPr>
        <w:pStyle w:val="36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239520"/>
            <wp:effectExtent l="0" t="0" r="0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0"/>
        </w:tabs>
        <w:ind w:firstLine="0" w:firstLineChars="0"/>
      </w:pPr>
    </w:p>
    <w:p>
      <w:pPr>
        <w:numPr>
          <w:ilvl w:val="0"/>
          <w:numId w:val="6"/>
        </w:numPr>
        <w:ind w:left="0" w:leftChars="0" w:firstLine="420" w:firstLineChars="200"/>
        <w:jc w:val="left"/>
      </w:pPr>
      <w:r>
        <w:rPr>
          <w:rFonts w:hint="eastAsia"/>
          <w:lang w:val="en-US" w:eastAsia="zh-CN"/>
        </w:rPr>
        <w:t>推荐评委负责人。</w:t>
      </w:r>
    </w:p>
    <w:p>
      <w:pPr>
        <w:pStyle w:val="36"/>
      </w:pPr>
      <w:r>
        <w:drawing>
          <wp:inline distT="0" distB="0" distL="114300" distR="114300">
            <wp:extent cx="5261610" cy="1470025"/>
            <wp:effectExtent l="0" t="0" r="11430" b="825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6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点击【学习采购文件】可查看采购文件。</w:t>
      </w:r>
    </w:p>
    <w:p>
      <w:pPr>
        <w:pStyle w:val="36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063750"/>
            <wp:effectExtent l="0" t="0" r="7620" b="889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r>
        <w:rPr>
          <w:rFonts w:hint="eastAsia"/>
          <w:lang w:val="en-US" w:eastAsia="zh-CN"/>
        </w:rPr>
        <w:t>初步评审</w:t>
      </w:r>
    </w:p>
    <w:p>
      <w:pPr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jc w:val="left"/>
      </w:pPr>
      <w:r>
        <w:rPr>
          <w:rFonts w:hint="eastAsia"/>
        </w:rPr>
        <w:t>1、在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流程中</w:t>
      </w:r>
      <w:r>
        <w:rPr>
          <w:rFonts w:hint="eastAsia"/>
          <w:lang w:val="en-US" w:eastAsia="zh-CN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初步评审】</w:t>
      </w:r>
      <w:r>
        <w:rPr>
          <w:rFonts w:hint="eastAsia"/>
        </w:rPr>
        <w:t>按钮，进入评审页面。如下图：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2880" cy="2228850"/>
            <wp:effectExtent l="0" t="0" r="10160" b="1143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在评审页面中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按单位打分”，</w:t>
      </w:r>
      <w:r>
        <w:rPr>
          <w:rFonts w:hint="eastAsia"/>
        </w:rPr>
        <w:t>通过点击箭头来进行投标单位切换，对所有投标单位进行评审。点击左下角投标文件组成中的菜单，可在窗口中展示投标菜单内容，查看菜单内容进行对应评审。评审完成后，点击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添加保存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按钮，对评审结果进行保存。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3675" cy="2384425"/>
            <wp:effectExtent l="0" t="0" r="14605" b="825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“完整打分”中，可查看所有投标单位的响应文件，点击【查看采购文件】可打开采购文件对照评审，全部投标单位打完分后，点击【确认提交】按钮提交。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2245" cy="2294890"/>
            <wp:effectExtent l="0" t="0" r="10795" b="635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/>
        </w:rPr>
      </w:pPr>
      <w:r>
        <w:rPr>
          <w:rFonts w:hint="eastAsia"/>
        </w:rPr>
        <w:t>所有评委评审完成后，组长点击“</w:t>
      </w:r>
      <w:r>
        <w:rPr>
          <w:rFonts w:hint="eastAsia"/>
          <w:lang w:val="en-US" w:eastAsia="zh-CN"/>
        </w:rPr>
        <w:t>符合性评审</w:t>
      </w:r>
      <w:r>
        <w:rPr>
          <w:rFonts w:hint="eastAsia"/>
        </w:rPr>
        <w:t>汇总”菜单，展示所有评分点评审情况，确认无误后点击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确定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按钮进行汇总。如果有评委评审错误，组长可以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评审汇总页面，点击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退回重评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按钮，退回给评委修改。如下图：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1610" cy="2349500"/>
            <wp:effectExtent l="0" t="0" r="11430" b="1270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如有需要否决的投标单位，组长点击“否决响应”菜单，点击要否决的单位，输入否决响应原因，点击【否决响应】进行否决。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9230" cy="1814830"/>
            <wp:effectExtent l="0" t="0" r="3810" b="1397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829435"/>
            <wp:effectExtent l="0" t="0" r="14605" b="1460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谈判</w:t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>操作步骤：</w:t>
      </w:r>
    </w:p>
    <w:p>
      <w:pPr>
        <w:ind w:left="0" w:leftChars="0" w:firstLine="211" w:firstLineChars="1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>1、点击【详细评审】进入多轮次谈判。</w:t>
      </w:r>
    </w:p>
    <w:p>
      <w:pPr>
        <w:ind w:left="0" w:leftChars="0" w:firstLine="0" w:firstLineChars="0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263515" cy="2283460"/>
            <wp:effectExtent l="0" t="0" r="9525" b="254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eastAsia" w:eastAsia="思源宋体 CN Light"/>
          <w:lang w:val="en-US" w:eastAsia="zh-CN"/>
        </w:rPr>
      </w:pPr>
    </w:p>
    <w:p>
      <w:pPr>
        <w:ind w:firstLine="0" w:firstLineChars="0"/>
        <w:jc w:val="left"/>
      </w:pPr>
    </w:p>
    <w:p>
      <w:pPr>
        <w:numPr>
          <w:ilvl w:val="0"/>
          <w:numId w:val="0"/>
        </w:numPr>
        <w:ind w:leftChars="200" w:firstLine="21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在评审页面中，</w:t>
      </w:r>
      <w:r>
        <w:rPr>
          <w:rFonts w:hint="eastAsia"/>
          <w:lang w:val="en-US" w:eastAsia="zh-CN"/>
        </w:rPr>
        <w:t>先设置谈判限时和回复限时，点击【保存参数设置】。按照顺序进行谈判，勾选第一家谈判单位，点击【开始谈判】按钮，进入音视频谈判系统</w:t>
      </w:r>
      <w:r>
        <w:rPr>
          <w:rFonts w:hint="eastAsia"/>
          <w:color w:val="FF0000"/>
          <w:lang w:val="en-US" w:eastAsia="zh-CN"/>
        </w:rPr>
        <w:t>（注：谈判组长操作）</w:t>
      </w:r>
    </w:p>
    <w:p>
      <w:pPr>
        <w:pStyle w:val="36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8595" cy="2024380"/>
            <wp:effectExtent l="0" t="0" r="4445" b="254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0500" cy="3711575"/>
            <wp:effectExtent l="0" t="0" r="254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内部交流】-评委之间的交流，供应商听不到。</w:t>
      </w:r>
    </w:p>
    <w:p>
      <w:pPr>
        <w:pStyle w:val="36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【组长控麦】-只有组长可以发言，其他人禁言且不可解除，所有人都能听到组长说话。</w:t>
      </w:r>
    </w:p>
    <w:p>
      <w:pPr>
        <w:pStyle w:val="36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【互动交流】-供应商和评委互相之间可以听到说话。</w:t>
      </w:r>
    </w:p>
    <w:p>
      <w:pPr>
        <w:pStyle w:val="36"/>
        <w:numPr>
          <w:ilvl w:val="0"/>
          <w:numId w:val="7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谈判结束后，组长点击【结束谈判】按钮结束。</w:t>
      </w: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71135" cy="1993900"/>
            <wp:effectExtent l="0" t="0" r="1905" b="2540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7"/>
        </w:numPr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评委点击“谈判提问”中【新增问题】按钮，录入提问内容，点击【保存】后点击【确认提交】按钮提交问题。如无提问，直接点击【确认提交】按钮提交即可。</w:t>
      </w: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71135" cy="1924050"/>
            <wp:effectExtent l="0" t="0" r="1905" b="11430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73040" cy="2105660"/>
            <wp:effectExtent l="0" t="0" r="0" b="1270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68595" cy="2147570"/>
            <wp:effectExtent l="0" t="0" r="4445" b="127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7"/>
        </w:numPr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所有评委提交后，组长点击“第一轮提问汇总”-【汇总提问】，查看所有评委问题，可删除、修改。如有其他问题补充，点击【补充提问】按钮进行补充。完成后点击【发送提问】发送给供应商。</w:t>
      </w: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67960" cy="2219960"/>
            <wp:effectExtent l="0" t="0" r="5080" b="508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62880" cy="2256155"/>
            <wp:effectExtent l="0" t="0" r="10160" b="14605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7"/>
        </w:numPr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点击“谈判和报价历史”，【谈判问题汇总】中可查看供应商回复详情；【报价历史查看】中可查看供应商历史报价。</w:t>
      </w:r>
    </w:p>
    <w:p>
      <w:pPr>
        <w:pStyle w:val="36"/>
        <w:numPr>
          <w:ilvl w:val="0"/>
          <w:numId w:val="0"/>
        </w:numPr>
        <w:ind w:leftChars="400"/>
        <w:rPr>
          <w:rFonts w:hint="eastAsia"/>
          <w:lang w:val="en-US" w:eastAsia="zh-CN"/>
        </w:rPr>
      </w:pP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66690" cy="1493520"/>
            <wp:effectExtent l="0" t="0" r="6350" b="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1477010"/>
            <wp:effectExtent l="0" t="0" r="10795" b="1270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7"/>
        </w:numPr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第一轮结束后，如需开启第二轮谈判，组长点击“多轮次谈判”页面中【开启下一轮谈判】按钮，进入第二轮谈判。</w:t>
      </w:r>
      <w:r>
        <w:rPr>
          <w:rFonts w:hint="eastAsia"/>
          <w:color w:val="FF0000"/>
          <w:lang w:val="en-US" w:eastAsia="zh-CN"/>
        </w:rPr>
        <w:t>（注：同第一轮谈判操作）</w:t>
      </w:r>
    </w:p>
    <w:p>
      <w:pPr>
        <w:pStyle w:val="36"/>
        <w:numPr>
          <w:ilvl w:val="0"/>
          <w:numId w:val="0"/>
        </w:numPr>
        <w:ind w:leftChars="400"/>
      </w:pPr>
      <w:r>
        <w:drawing>
          <wp:inline distT="0" distB="0" distL="114300" distR="114300">
            <wp:extent cx="5265420" cy="2111375"/>
            <wp:effectExtent l="0" t="0" r="7620" b="6985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136140"/>
            <wp:effectExtent l="0" t="0" r="14605" b="12700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400"/>
      </w:pPr>
    </w:p>
    <w:p>
      <w:pPr>
        <w:pStyle w:val="36"/>
        <w:numPr>
          <w:ilvl w:val="0"/>
          <w:numId w:val="0"/>
        </w:numPr>
        <w:ind w:leftChars="400"/>
      </w:pPr>
    </w:p>
    <w:p>
      <w:pPr>
        <w:pStyle w:val="36"/>
        <w:numPr>
          <w:ilvl w:val="0"/>
          <w:numId w:val="7"/>
        </w:numPr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所有谈判结束后，组长点击【本项目谈判完成】按钮完成谈判。</w:t>
      </w:r>
    </w:p>
    <w:p>
      <w:pPr>
        <w:pStyle w:val="36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71135" cy="1859915"/>
            <wp:effectExtent l="0" t="0" r="1905" b="14605"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jc w:val="right"/>
        <w:rPr>
          <w:rFonts w:hint="default"/>
          <w:lang w:val="en-US" w:eastAsia="zh-CN"/>
        </w:rPr>
      </w:pPr>
    </w:p>
    <w:p>
      <w:pPr>
        <w:pStyle w:val="4"/>
        <w:numPr>
          <w:ilvl w:val="2"/>
          <w:numId w:val="0"/>
        </w:numPr>
        <w:ind w:leftChars="0"/>
        <w:rPr>
          <w:rFonts w:hint="default"/>
          <w:lang w:val="en-US"/>
        </w:rPr>
      </w:pPr>
      <w:bookmarkStart w:id="11" w:name="_Toc23328"/>
      <w:bookmarkStart w:id="12" w:name="_Toc41915264"/>
      <w:r>
        <w:rPr>
          <w:rFonts w:hint="eastAsia"/>
          <w:lang w:val="en-US" w:eastAsia="zh-CN"/>
        </w:rPr>
        <w:t>2.</w:t>
      </w:r>
      <w:bookmarkEnd w:id="11"/>
      <w:bookmarkEnd w:id="12"/>
      <w:r>
        <w:rPr>
          <w:rFonts w:hint="eastAsia"/>
          <w:lang w:val="en-US" w:eastAsia="zh-CN"/>
        </w:rPr>
        <w:t>4、综合评分</w:t>
      </w:r>
    </w:p>
    <w:p>
      <w:pPr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jc w:val="left"/>
        <w:rPr>
          <w:rFonts w:hint="default" w:eastAsia="思源宋体 CN Light"/>
          <w:lang w:val="en-US" w:eastAsia="zh-CN"/>
        </w:rPr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评委点击“综合评分”，进行评分</w:t>
      </w:r>
      <w:r>
        <w:rPr>
          <w:rFonts w:hint="eastAsia"/>
          <w:color w:val="FF0000"/>
          <w:lang w:val="en-US" w:eastAsia="zh-CN"/>
        </w:rPr>
        <w:t>（注：参照2.2操作流程）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3675" cy="2412365"/>
            <wp:effectExtent l="0" t="0" r="14605" b="10795"/>
            <wp:docPr id="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315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所有评委完成评分后，组长点击“综合评分汇总”进行汇总，没问题后点击【确定】按钮完成。</w:t>
      </w:r>
    </w:p>
    <w:p>
      <w:pPr>
        <w:numPr>
          <w:ilvl w:val="0"/>
          <w:numId w:val="0"/>
        </w:numPr>
        <w:ind w:left="315" w:leftChars="0"/>
        <w:jc w:val="left"/>
      </w:pPr>
      <w:r>
        <w:drawing>
          <wp:inline distT="0" distB="0" distL="114300" distR="114300">
            <wp:extent cx="5261610" cy="1389380"/>
            <wp:effectExtent l="0" t="0" r="11430" b="12700"/>
            <wp:docPr id="6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2.5、评审结束</w:t>
      </w:r>
    </w:p>
    <w:p>
      <w:pPr>
        <w:ind w:firstLine="431"/>
        <w:rPr>
          <w:rFonts w:hint="eastAsia"/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9"/>
        </w:numPr>
        <w:ind w:firstLine="431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组长点击【评审结束】进入，点击“最终排序”-【汇总排名】后，再点击【组长确认】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385060"/>
            <wp:effectExtent l="0" t="0" r="8890" b="7620"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792480"/>
            <wp:effectExtent l="0" t="0" r="5080" b="0"/>
            <wp:docPr id="6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组长点击“推荐成交候选人”推荐成交候选人，录入“评委评审意见”后点击【保存意见】保存。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1842770"/>
            <wp:effectExtent l="0" t="0" r="12700" b="1270"/>
            <wp:docPr id="6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/>
        <w:jc w:val="left"/>
        <w:rPr>
          <w:rFonts w:hint="default"/>
          <w:lang w:val="en-US" w:eastAsia="zh-CN"/>
        </w:rPr>
      </w:pPr>
    </w:p>
    <w:p>
      <w:pPr>
        <w:ind w:firstLine="0" w:firstLineChars="0"/>
        <w:rPr>
          <w:bCs/>
        </w:rPr>
      </w:pPr>
    </w:p>
    <w:p>
      <w:pPr>
        <w:rPr>
          <w:bCs/>
        </w:rPr>
      </w:pPr>
      <w:r>
        <w:rPr>
          <w:rFonts w:hint="eastAsia"/>
          <w:bCs/>
          <w:lang w:val="en-US" w:eastAsia="zh-CN"/>
        </w:rPr>
        <w:t>3、评委勾选左边所有需要签章的节点，点击【批量签章】按钮，</w:t>
      </w:r>
      <w:r>
        <w:rPr>
          <w:rFonts w:hint="eastAsia"/>
          <w:bCs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1783080"/>
            <wp:effectExtent l="0" t="0" r="0" b="0"/>
            <wp:docPr id="6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="210"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4、页面显示出来后，点击左上角【点击签章】按钮，显示“签章成功”，完成签章操作。</w:t>
      </w:r>
    </w:p>
    <w:p>
      <w:pPr>
        <w:pStyle w:val="36"/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296160"/>
            <wp:effectExtent l="0" t="0" r="1270" b="5080"/>
            <wp:docPr id="6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ascii="思源宋体 CN Light" w:hAnsi="思源宋体 CN Light" w:cs="思源宋体 CN Light"/>
        </w:rPr>
      </w:pPr>
    </w:p>
    <w:sectPr>
      <w:footerReference r:id="rId7" w:type="default"/>
      <w:pgSz w:w="11906" w:h="16838"/>
      <w:pgMar w:top="1440" w:right="1800" w:bottom="1440" w:left="1800" w:header="624" w:footer="624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  <w:rPr>
        <w:rFonts w:eastAsia="思源宋体 CN Extra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spacing w:line="240" w:lineRule="auto"/>
      <w:ind w:firstLine="0" w:firstLineChars="0"/>
      <w:jc w:val="right"/>
      <w:rPr>
        <w:rFonts w:hint="default" w:ascii="思源宋体 CN ExtraLight" w:hAnsi="思源宋体 CN ExtraLight" w:eastAsia="思源宋体 CN ExtraLight" w:cs="Times New Roman"/>
        <w:sz w:val="18"/>
        <w:szCs w:val="18"/>
        <w:lang w:val="en-US" w:eastAsia="zh-CN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16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  <w:lang w:val="en-US" w:eastAsia="zh-CN"/>
      </w:rPr>
      <w:t>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3970"/>
          <wp:docPr id="9" name="图片 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 </w:t>
    </w:r>
    <w:r>
      <w:rPr>
        <w:rFonts w:hint="eastAsia" w:ascii="宋体" w:hAnsi="宋体"/>
        <w:b/>
        <w:bCs/>
        <w:lang w:val="en-US" w:eastAsia="zh-CN"/>
      </w:rPr>
      <w:t xml:space="preserve"> </w:t>
    </w:r>
    <w:r>
      <w:rPr>
        <w:rFonts w:hint="eastAsia" w:ascii="宋体" w:hAnsi="宋体"/>
        <w:b/>
        <w:bCs/>
        <w:color w:val="FF0000"/>
        <w:lang w:val="en-US" w:eastAsia="zh-CN"/>
      </w:rPr>
      <w:t>评委竞谈采购操作手册     联系方式：400 101 5550（宋工）   QQ：416634638</w:t>
    </w:r>
    <w:r>
      <w:rPr>
        <w:rFonts w:hint="eastAsia" w:ascii="宋体" w:hAnsi="宋体"/>
        <w:b/>
        <w:bCs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339929"/>
    <w:multiLevelType w:val="multilevel"/>
    <w:tmpl w:val="B133992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isLgl/>
      <w:lvlText w:val="%1.%2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宋体" w:cs="宋体"/>
      </w:rPr>
    </w:lvl>
    <w:lvl w:ilvl="2" w:tentative="0">
      <w:start w:val="1"/>
      <w:numFmt w:val="decimal"/>
      <w:isLgl/>
      <w:lvlText w:val="%1.%2.%3、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BE2B1258"/>
    <w:multiLevelType w:val="singleLevel"/>
    <w:tmpl w:val="BE2B1258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D8BA6273"/>
    <w:multiLevelType w:val="multilevel"/>
    <w:tmpl w:val="D8BA6273"/>
    <w:lvl w:ilvl="0" w:tentative="0">
      <w:start w:val="1"/>
      <w:numFmt w:val="chineseCounting"/>
      <w:pStyle w:val="4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 w:cs="宋体"/>
        <w:b/>
        <w:i w:val="0"/>
        <w:sz w:val="32"/>
      </w:rPr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0" w:firstLine="0"/>
      </w:pPr>
      <w:rPr>
        <w:rFonts w:hint="eastAsia" w:ascii="宋体" w:hAnsi="宋体" w:eastAsia="宋体" w:cs="宋体"/>
        <w:b/>
        <w:i w:val="0"/>
        <w:sz w:val="21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abstractNum w:abstractNumId="3">
    <w:nsid w:val="F627347B"/>
    <w:multiLevelType w:val="singleLevel"/>
    <w:tmpl w:val="F627347B"/>
    <w:lvl w:ilvl="0" w:tentative="0">
      <w:start w:val="2"/>
      <w:numFmt w:val="decimal"/>
      <w:suff w:val="nothing"/>
      <w:lvlText w:val="%1、"/>
      <w:lvlJc w:val="left"/>
      <w:pPr>
        <w:ind w:left="315" w:leftChars="0" w:firstLine="0" w:firstLineChars="0"/>
      </w:pPr>
    </w:lvl>
  </w:abstractNum>
  <w:abstractNum w:abstractNumId="4">
    <w:nsid w:val="F7C53049"/>
    <w:multiLevelType w:val="multilevel"/>
    <w:tmpl w:val="F7C53049"/>
    <w:lvl w:ilvl="0" w:tentative="0">
      <w:start w:val="1"/>
      <w:numFmt w:val="chineseCountingThousand"/>
      <w:lvlText w:val="第%1章"/>
      <w:lvlJc w:val="left"/>
      <w:pPr>
        <w:tabs>
          <w:tab w:val="left" w:pos="641"/>
        </w:tabs>
        <w:ind w:left="641" w:hanging="641"/>
      </w:pPr>
      <w:rPr>
        <w:rFonts w:hint="eastAsia"/>
        <w:sz w:val="3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839"/>
        </w:tabs>
        <w:ind w:left="839" w:hanging="641"/>
      </w:pPr>
      <w:rPr>
        <w:rFonts w:hint="eastAsia"/>
      </w:rPr>
    </w:lvl>
    <w:lvl w:ilvl="2" w:tentative="0">
      <w:start w:val="1"/>
      <w:numFmt w:val="decimal"/>
      <w:lvlRestart w:val="1"/>
      <w:isLgl/>
      <w:lvlText w:val="%1.%3."/>
      <w:lvlJc w:val="left"/>
      <w:pPr>
        <w:tabs>
          <w:tab w:val="left" w:pos="1049"/>
        </w:tabs>
        <w:ind w:left="1049" w:hanging="851"/>
      </w:pPr>
      <w:rPr>
        <w:rFonts w:hint="eastAsia"/>
      </w:rPr>
    </w:lvl>
    <w:lvl w:ilvl="3" w:tentative="0">
      <w:start w:val="1"/>
      <w:numFmt w:val="decimal"/>
      <w:isLgl/>
      <w:lvlText w:val="%1.%3.%4."/>
      <w:lvlJc w:val="left"/>
      <w:pPr>
        <w:tabs>
          <w:tab w:val="left" w:pos="2054"/>
        </w:tabs>
        <w:ind w:left="2054" w:hanging="1061"/>
      </w:pPr>
      <w:rPr>
        <w:rFonts w:hint="eastAsia"/>
      </w:rPr>
    </w:lvl>
    <w:lvl w:ilvl="4" w:tentative="0">
      <w:start w:val="1"/>
      <w:numFmt w:val="decimal"/>
      <w:isLgl/>
      <w:lvlText w:val="%1.%3.%4.%5."/>
      <w:lvlJc w:val="left"/>
      <w:pPr>
        <w:tabs>
          <w:tab w:val="left" w:pos="1469"/>
        </w:tabs>
        <w:ind w:left="1469" w:hanging="1271"/>
      </w:pPr>
      <w:rPr>
        <w:rFonts w:hint="eastAsia"/>
      </w:rPr>
    </w:lvl>
    <w:lvl w:ilvl="5" w:tentative="0">
      <w:start w:val="1"/>
      <w:numFmt w:val="decimal"/>
      <w:lvlText w:val="%6."/>
      <w:lvlJc w:val="left"/>
      <w:pPr>
        <w:tabs>
          <w:tab w:val="left" w:pos="837"/>
        </w:tabs>
        <w:ind w:left="837" w:hanging="419"/>
      </w:pPr>
      <w:rPr>
        <w:rFonts w:hint="eastAsia"/>
      </w:rPr>
    </w:lvl>
    <w:lvl w:ilvl="6" w:tentative="0">
      <w:start w:val="1"/>
      <w:numFmt w:val="decimal"/>
      <w:pStyle w:val="8"/>
      <w:lvlText w:val="%7)"/>
      <w:lvlJc w:val="left"/>
      <w:pPr>
        <w:tabs>
          <w:tab w:val="left" w:pos="1257"/>
        </w:tabs>
        <w:ind w:left="1257" w:hanging="420"/>
      </w:pPr>
      <w:rPr>
        <w:rFonts w:hint="eastAsia"/>
      </w:rPr>
    </w:lvl>
    <w:lvl w:ilvl="7" w:tentative="0">
      <w:start w:val="1"/>
      <w:numFmt w:val="decimalEnclosedCircle"/>
      <w:pStyle w:val="9"/>
      <w:lvlText w:val="%8."/>
      <w:lvlJc w:val="left"/>
      <w:pPr>
        <w:tabs>
          <w:tab w:val="left" w:pos="1678"/>
        </w:tabs>
        <w:ind w:left="1678" w:hanging="419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757"/>
        </w:tabs>
        <w:ind w:left="1757" w:hanging="1559"/>
      </w:pPr>
      <w:rPr>
        <w:rFonts w:hint="eastAsia"/>
      </w:rPr>
    </w:lvl>
  </w:abstractNum>
  <w:abstractNum w:abstractNumId="5">
    <w:nsid w:val="FEA639FD"/>
    <w:multiLevelType w:val="singleLevel"/>
    <w:tmpl w:val="FEA639F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2BB6860C"/>
    <w:multiLevelType w:val="multilevel"/>
    <w:tmpl w:val="2BB6860C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>
    <w:nsid w:val="38F0C960"/>
    <w:multiLevelType w:val="multilevel"/>
    <w:tmpl w:val="38F0C960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32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/>
        <w:b/>
        <w:i w:val="0"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2269" w:hanging="992"/>
      </w:pPr>
      <w:rPr>
        <w:rFonts w:hint="eastAsia" w:ascii="Times New Roman" w:hAnsi="Times New Roman" w:eastAsia="宋体"/>
        <w:b/>
        <w:i w:val="0"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abstractNum w:abstractNumId="8">
    <w:nsid w:val="5C3E4BC1"/>
    <w:multiLevelType w:val="singleLevel"/>
    <w:tmpl w:val="5C3E4B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iNTE3MDRhYTA1YTUxMzc0MzQzOWZhZTVlOTk1NWQifQ=="/>
  </w:docVars>
  <w:rsids>
    <w:rsidRoot w:val="00276EC0"/>
    <w:rsid w:val="000B6B45"/>
    <w:rsid w:val="001B5AB0"/>
    <w:rsid w:val="00276EC0"/>
    <w:rsid w:val="00326869"/>
    <w:rsid w:val="003522A6"/>
    <w:rsid w:val="003F26A0"/>
    <w:rsid w:val="0059164B"/>
    <w:rsid w:val="006914FF"/>
    <w:rsid w:val="007F1BC8"/>
    <w:rsid w:val="00880FAA"/>
    <w:rsid w:val="00AB0B78"/>
    <w:rsid w:val="00C14A61"/>
    <w:rsid w:val="00C33EB3"/>
    <w:rsid w:val="00CC34DA"/>
    <w:rsid w:val="00E20693"/>
    <w:rsid w:val="00E22F63"/>
    <w:rsid w:val="0160358D"/>
    <w:rsid w:val="01FA47FF"/>
    <w:rsid w:val="02101F44"/>
    <w:rsid w:val="025A529E"/>
    <w:rsid w:val="027065D6"/>
    <w:rsid w:val="029429C0"/>
    <w:rsid w:val="02ED7D40"/>
    <w:rsid w:val="03656E42"/>
    <w:rsid w:val="03FE0178"/>
    <w:rsid w:val="04266F69"/>
    <w:rsid w:val="04451A44"/>
    <w:rsid w:val="04BA531F"/>
    <w:rsid w:val="04F072FB"/>
    <w:rsid w:val="055A7363"/>
    <w:rsid w:val="06D81E4F"/>
    <w:rsid w:val="06D84AD0"/>
    <w:rsid w:val="06FA2BAB"/>
    <w:rsid w:val="0728596A"/>
    <w:rsid w:val="07DB09B2"/>
    <w:rsid w:val="07E61381"/>
    <w:rsid w:val="07F115CB"/>
    <w:rsid w:val="083E11BD"/>
    <w:rsid w:val="08A309C4"/>
    <w:rsid w:val="08EC3549"/>
    <w:rsid w:val="094B1DE4"/>
    <w:rsid w:val="0A09177D"/>
    <w:rsid w:val="0A323ABA"/>
    <w:rsid w:val="0AFE42DF"/>
    <w:rsid w:val="0B070A5E"/>
    <w:rsid w:val="0B512FB6"/>
    <w:rsid w:val="0B6F55A6"/>
    <w:rsid w:val="0B972534"/>
    <w:rsid w:val="0C2C241F"/>
    <w:rsid w:val="0C5A1091"/>
    <w:rsid w:val="0CF32576"/>
    <w:rsid w:val="0D4C1C87"/>
    <w:rsid w:val="0EA16002"/>
    <w:rsid w:val="0EC22051"/>
    <w:rsid w:val="0F0046FF"/>
    <w:rsid w:val="0F6E4136"/>
    <w:rsid w:val="109E1FBA"/>
    <w:rsid w:val="10CE3FB8"/>
    <w:rsid w:val="11402872"/>
    <w:rsid w:val="11850FF5"/>
    <w:rsid w:val="123E49F7"/>
    <w:rsid w:val="12C30C3D"/>
    <w:rsid w:val="133B7881"/>
    <w:rsid w:val="134C6C96"/>
    <w:rsid w:val="13B660AC"/>
    <w:rsid w:val="14824D61"/>
    <w:rsid w:val="1486688F"/>
    <w:rsid w:val="158B2C1A"/>
    <w:rsid w:val="159B37AB"/>
    <w:rsid w:val="161D68B6"/>
    <w:rsid w:val="16503151"/>
    <w:rsid w:val="16585B40"/>
    <w:rsid w:val="16594E1B"/>
    <w:rsid w:val="165B65E9"/>
    <w:rsid w:val="168005A9"/>
    <w:rsid w:val="16D22A67"/>
    <w:rsid w:val="173376FF"/>
    <w:rsid w:val="1901601B"/>
    <w:rsid w:val="19B36621"/>
    <w:rsid w:val="19DE008F"/>
    <w:rsid w:val="1BB05AD7"/>
    <w:rsid w:val="1BCD48DA"/>
    <w:rsid w:val="1C4050AC"/>
    <w:rsid w:val="1C5C2B4E"/>
    <w:rsid w:val="1CFF32CC"/>
    <w:rsid w:val="1D3249F5"/>
    <w:rsid w:val="1D48417D"/>
    <w:rsid w:val="1D4A728D"/>
    <w:rsid w:val="1DD866E2"/>
    <w:rsid w:val="1E2E46BF"/>
    <w:rsid w:val="1E5B1573"/>
    <w:rsid w:val="1E5D40E4"/>
    <w:rsid w:val="1EC91389"/>
    <w:rsid w:val="1F132C50"/>
    <w:rsid w:val="1FF50F8D"/>
    <w:rsid w:val="1FFE2979"/>
    <w:rsid w:val="20250841"/>
    <w:rsid w:val="209371C1"/>
    <w:rsid w:val="20CE2C87"/>
    <w:rsid w:val="20D63111"/>
    <w:rsid w:val="21187848"/>
    <w:rsid w:val="2164632A"/>
    <w:rsid w:val="216F760C"/>
    <w:rsid w:val="221B1006"/>
    <w:rsid w:val="22403CDB"/>
    <w:rsid w:val="22944D08"/>
    <w:rsid w:val="22B95A70"/>
    <w:rsid w:val="22CF2CE6"/>
    <w:rsid w:val="22F17557"/>
    <w:rsid w:val="23C73FFA"/>
    <w:rsid w:val="249D36CA"/>
    <w:rsid w:val="24D33E64"/>
    <w:rsid w:val="2620390A"/>
    <w:rsid w:val="265005E2"/>
    <w:rsid w:val="27110EAB"/>
    <w:rsid w:val="27260B36"/>
    <w:rsid w:val="28520641"/>
    <w:rsid w:val="28577A06"/>
    <w:rsid w:val="285E6FE6"/>
    <w:rsid w:val="28E4472C"/>
    <w:rsid w:val="29226CED"/>
    <w:rsid w:val="2943636D"/>
    <w:rsid w:val="29D37560"/>
    <w:rsid w:val="2B5A3EBA"/>
    <w:rsid w:val="2C92092B"/>
    <w:rsid w:val="2CD750AA"/>
    <w:rsid w:val="2D1E213B"/>
    <w:rsid w:val="2E456552"/>
    <w:rsid w:val="2E457C35"/>
    <w:rsid w:val="2E6E5AA9"/>
    <w:rsid w:val="2EBA484A"/>
    <w:rsid w:val="2ECF16EB"/>
    <w:rsid w:val="2F3F643D"/>
    <w:rsid w:val="2F6B3D97"/>
    <w:rsid w:val="2FD302BA"/>
    <w:rsid w:val="305C369C"/>
    <w:rsid w:val="314D7BF8"/>
    <w:rsid w:val="317D56E1"/>
    <w:rsid w:val="327079CD"/>
    <w:rsid w:val="32B14FAE"/>
    <w:rsid w:val="33044836"/>
    <w:rsid w:val="33701575"/>
    <w:rsid w:val="33AA1331"/>
    <w:rsid w:val="3422536C"/>
    <w:rsid w:val="35530C59"/>
    <w:rsid w:val="357164BB"/>
    <w:rsid w:val="35A16764"/>
    <w:rsid w:val="35B56CC4"/>
    <w:rsid w:val="35C43B75"/>
    <w:rsid w:val="35F374C5"/>
    <w:rsid w:val="36127662"/>
    <w:rsid w:val="367E4C5A"/>
    <w:rsid w:val="367F55E7"/>
    <w:rsid w:val="374C59AF"/>
    <w:rsid w:val="375021F0"/>
    <w:rsid w:val="37B31CC9"/>
    <w:rsid w:val="38FA264C"/>
    <w:rsid w:val="391B2F6D"/>
    <w:rsid w:val="39513C9C"/>
    <w:rsid w:val="39665CFB"/>
    <w:rsid w:val="398E5251"/>
    <w:rsid w:val="3A1E65D5"/>
    <w:rsid w:val="3A287FFA"/>
    <w:rsid w:val="3A553838"/>
    <w:rsid w:val="3AA84E07"/>
    <w:rsid w:val="3ABC4369"/>
    <w:rsid w:val="3B135A0E"/>
    <w:rsid w:val="3B696312"/>
    <w:rsid w:val="3BEC625F"/>
    <w:rsid w:val="3C37397E"/>
    <w:rsid w:val="3D6805FB"/>
    <w:rsid w:val="3D967114"/>
    <w:rsid w:val="3E6F07D1"/>
    <w:rsid w:val="3EA454FD"/>
    <w:rsid w:val="3EA717D3"/>
    <w:rsid w:val="3EE603C2"/>
    <w:rsid w:val="3F114AD6"/>
    <w:rsid w:val="3F1679B2"/>
    <w:rsid w:val="3F442F49"/>
    <w:rsid w:val="3FA17A3A"/>
    <w:rsid w:val="4030056F"/>
    <w:rsid w:val="4055272F"/>
    <w:rsid w:val="4099056D"/>
    <w:rsid w:val="40FF7EB2"/>
    <w:rsid w:val="41200E85"/>
    <w:rsid w:val="41EC3710"/>
    <w:rsid w:val="421A0B83"/>
    <w:rsid w:val="42C57F36"/>
    <w:rsid w:val="43A806E3"/>
    <w:rsid w:val="43CA5E2B"/>
    <w:rsid w:val="43F6370E"/>
    <w:rsid w:val="44F20D8A"/>
    <w:rsid w:val="45745458"/>
    <w:rsid w:val="46AA2F9F"/>
    <w:rsid w:val="47332F94"/>
    <w:rsid w:val="48A47904"/>
    <w:rsid w:val="49133C0D"/>
    <w:rsid w:val="494F64C8"/>
    <w:rsid w:val="49DA26A5"/>
    <w:rsid w:val="4AB958D0"/>
    <w:rsid w:val="4AFA6D0A"/>
    <w:rsid w:val="4B0C130C"/>
    <w:rsid w:val="4B161F25"/>
    <w:rsid w:val="4B2257F9"/>
    <w:rsid w:val="4B3C4D2D"/>
    <w:rsid w:val="4B685F8D"/>
    <w:rsid w:val="4C016525"/>
    <w:rsid w:val="4C336C95"/>
    <w:rsid w:val="4C633D3F"/>
    <w:rsid w:val="4C76404F"/>
    <w:rsid w:val="4CAF130F"/>
    <w:rsid w:val="4D53308C"/>
    <w:rsid w:val="4D6420F9"/>
    <w:rsid w:val="4EA13E1D"/>
    <w:rsid w:val="4F18319B"/>
    <w:rsid w:val="4FE46912"/>
    <w:rsid w:val="506C5C01"/>
    <w:rsid w:val="50CC6933"/>
    <w:rsid w:val="50EC48E0"/>
    <w:rsid w:val="51281D55"/>
    <w:rsid w:val="518A72F6"/>
    <w:rsid w:val="51986B4F"/>
    <w:rsid w:val="51C15D6C"/>
    <w:rsid w:val="525A0EF0"/>
    <w:rsid w:val="529D7DC6"/>
    <w:rsid w:val="539C1863"/>
    <w:rsid w:val="543211F5"/>
    <w:rsid w:val="54931516"/>
    <w:rsid w:val="54A12E7B"/>
    <w:rsid w:val="54D77655"/>
    <w:rsid w:val="54EA382C"/>
    <w:rsid w:val="553D1B1D"/>
    <w:rsid w:val="5577601A"/>
    <w:rsid w:val="55A82D9F"/>
    <w:rsid w:val="56665134"/>
    <w:rsid w:val="567C4B64"/>
    <w:rsid w:val="56BD37C6"/>
    <w:rsid w:val="575E22AF"/>
    <w:rsid w:val="57EA63E9"/>
    <w:rsid w:val="583151B0"/>
    <w:rsid w:val="584C2283"/>
    <w:rsid w:val="58985B3E"/>
    <w:rsid w:val="58C9112F"/>
    <w:rsid w:val="58F76517"/>
    <w:rsid w:val="59017396"/>
    <w:rsid w:val="593212FE"/>
    <w:rsid w:val="59352B9C"/>
    <w:rsid w:val="5A00575A"/>
    <w:rsid w:val="5A1218E8"/>
    <w:rsid w:val="5A20384C"/>
    <w:rsid w:val="5B5F2185"/>
    <w:rsid w:val="5C3842DD"/>
    <w:rsid w:val="5C6A0DAE"/>
    <w:rsid w:val="5C797243"/>
    <w:rsid w:val="5CC60749"/>
    <w:rsid w:val="5DCF5854"/>
    <w:rsid w:val="5E0C65C1"/>
    <w:rsid w:val="5E2E15AB"/>
    <w:rsid w:val="5E4E3AC4"/>
    <w:rsid w:val="5E8D3C1A"/>
    <w:rsid w:val="5E8F2D4E"/>
    <w:rsid w:val="5EAB324C"/>
    <w:rsid w:val="5EC34C95"/>
    <w:rsid w:val="5F3F2F83"/>
    <w:rsid w:val="5FD76383"/>
    <w:rsid w:val="603E5B7A"/>
    <w:rsid w:val="60837676"/>
    <w:rsid w:val="60BF704A"/>
    <w:rsid w:val="60C43183"/>
    <w:rsid w:val="61217B34"/>
    <w:rsid w:val="6155027F"/>
    <w:rsid w:val="621C080B"/>
    <w:rsid w:val="623D3BF4"/>
    <w:rsid w:val="627067A7"/>
    <w:rsid w:val="63073C66"/>
    <w:rsid w:val="632300A0"/>
    <w:rsid w:val="64202DC6"/>
    <w:rsid w:val="643423CE"/>
    <w:rsid w:val="64487E54"/>
    <w:rsid w:val="650A63BE"/>
    <w:rsid w:val="662911D5"/>
    <w:rsid w:val="668A0FC1"/>
    <w:rsid w:val="67311DA8"/>
    <w:rsid w:val="67776A09"/>
    <w:rsid w:val="67844B3C"/>
    <w:rsid w:val="67B20B28"/>
    <w:rsid w:val="680340E0"/>
    <w:rsid w:val="682F7047"/>
    <w:rsid w:val="68307CD3"/>
    <w:rsid w:val="683C0B04"/>
    <w:rsid w:val="688471B6"/>
    <w:rsid w:val="69535BCA"/>
    <w:rsid w:val="698E432E"/>
    <w:rsid w:val="6A364619"/>
    <w:rsid w:val="6A3A1702"/>
    <w:rsid w:val="6A570BC4"/>
    <w:rsid w:val="6A6E2B1C"/>
    <w:rsid w:val="6A981557"/>
    <w:rsid w:val="6AC029BD"/>
    <w:rsid w:val="6AF13D8B"/>
    <w:rsid w:val="6BA53BB1"/>
    <w:rsid w:val="6BB65AA8"/>
    <w:rsid w:val="6BF40D1C"/>
    <w:rsid w:val="6C07486C"/>
    <w:rsid w:val="6C952DF1"/>
    <w:rsid w:val="6CD93635"/>
    <w:rsid w:val="6D4519D7"/>
    <w:rsid w:val="6DBE1630"/>
    <w:rsid w:val="6DBE5BCE"/>
    <w:rsid w:val="6E753D0F"/>
    <w:rsid w:val="6E7A24C7"/>
    <w:rsid w:val="6E7C32EF"/>
    <w:rsid w:val="6E825D78"/>
    <w:rsid w:val="6E874588"/>
    <w:rsid w:val="6EF56056"/>
    <w:rsid w:val="70810331"/>
    <w:rsid w:val="71121A60"/>
    <w:rsid w:val="71160454"/>
    <w:rsid w:val="712437CA"/>
    <w:rsid w:val="7166670A"/>
    <w:rsid w:val="72190E55"/>
    <w:rsid w:val="7372332E"/>
    <w:rsid w:val="73CF6345"/>
    <w:rsid w:val="73F13E37"/>
    <w:rsid w:val="747915C9"/>
    <w:rsid w:val="74B133C4"/>
    <w:rsid w:val="752A64F7"/>
    <w:rsid w:val="76452F6E"/>
    <w:rsid w:val="76D417EE"/>
    <w:rsid w:val="76F97E70"/>
    <w:rsid w:val="77117A29"/>
    <w:rsid w:val="779108EB"/>
    <w:rsid w:val="77D4690F"/>
    <w:rsid w:val="7826478C"/>
    <w:rsid w:val="78DD498A"/>
    <w:rsid w:val="79C03DC2"/>
    <w:rsid w:val="7A0A4093"/>
    <w:rsid w:val="7A103957"/>
    <w:rsid w:val="7A30339F"/>
    <w:rsid w:val="7A5A025C"/>
    <w:rsid w:val="7A861422"/>
    <w:rsid w:val="7AB262C4"/>
    <w:rsid w:val="7AE60815"/>
    <w:rsid w:val="7BCB51B4"/>
    <w:rsid w:val="7C0C4572"/>
    <w:rsid w:val="7D450D50"/>
    <w:rsid w:val="7D9443A4"/>
    <w:rsid w:val="7DAB0D71"/>
    <w:rsid w:val="7EA36676"/>
    <w:rsid w:val="7EC74905"/>
    <w:rsid w:val="7ECF11AC"/>
    <w:rsid w:val="7FCD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numPr>
        <w:ilvl w:val="0"/>
        <w:numId w:val="1"/>
      </w:numPr>
      <w:spacing w:before="120" w:after="120"/>
      <w:ind w:firstLineChars="0"/>
      <w:outlineLvl w:val="0"/>
    </w:pPr>
    <w:rPr>
      <w:b/>
      <w:sz w:val="32"/>
    </w:rPr>
  </w:style>
  <w:style w:type="paragraph" w:styleId="3">
    <w:name w:val="heading 2"/>
    <w:basedOn w:val="1"/>
    <w:next w:val="1"/>
    <w:link w:val="39"/>
    <w:unhideWhenUsed/>
    <w:qFormat/>
    <w:uiPriority w:val="0"/>
    <w:pPr>
      <w:keepNext/>
      <w:keepLines/>
      <w:numPr>
        <w:ilvl w:val="1"/>
        <w:numId w:val="1"/>
      </w:numPr>
      <w:tabs>
        <w:tab w:val="left" w:pos="284"/>
        <w:tab w:val="clear" w:pos="0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7"/>
    <w:unhideWhenUsed/>
    <w:qFormat/>
    <w:uiPriority w:val="0"/>
    <w:pPr>
      <w:keepNext/>
      <w:keepLines/>
      <w:numPr>
        <w:ilvl w:val="2"/>
        <w:numId w:val="1"/>
      </w:numPr>
      <w:adjustRightInd w:val="0"/>
      <w:spacing w:before="120" w:after="120"/>
      <w:ind w:firstLineChars="0"/>
      <w:outlineLvl w:val="2"/>
    </w:pPr>
    <w:rPr>
      <w:b/>
      <w:bCs/>
      <w:sz w:val="28"/>
    </w:rPr>
  </w:style>
  <w:style w:type="paragraph" w:styleId="5">
    <w:name w:val="heading 4"/>
    <w:basedOn w:val="1"/>
    <w:next w:val="1"/>
    <w:link w:val="40"/>
    <w:unhideWhenUsed/>
    <w:qFormat/>
    <w:uiPriority w:val="0"/>
    <w:pPr>
      <w:keepNext/>
      <w:keepLines/>
      <w:numPr>
        <w:ilvl w:val="3"/>
        <w:numId w:val="1"/>
      </w:numPr>
      <w:tabs>
        <w:tab w:val="left" w:pos="1440"/>
        <w:tab w:val="clear" w:pos="0"/>
      </w:tabs>
      <w:spacing w:before="120" w:after="120"/>
      <w:ind w:firstLineChars="0"/>
      <w:jc w:val="left"/>
      <w:outlineLvl w:val="3"/>
    </w:pPr>
    <w:rPr>
      <w:b/>
      <w:iCs/>
      <w:sz w:val="24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tabs>
        <w:tab w:val="left" w:pos="1469"/>
      </w:tabs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tabs>
        <w:tab w:val="left" w:pos="837"/>
      </w:tabs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3"/>
      </w:numPr>
      <w:spacing w:before="240" w:after="64" w:line="317" w:lineRule="auto"/>
      <w:ind w:firstLine="0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3"/>
      </w:numPr>
      <w:spacing w:before="240" w:after="64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4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8"/>
    <w:autoRedefine/>
    <w:qFormat/>
    <w:uiPriority w:val="0"/>
    <w:pPr>
      <w:jc w:val="left"/>
    </w:pPr>
  </w:style>
  <w:style w:type="paragraph" w:styleId="12">
    <w:name w:val="Body Text"/>
    <w:basedOn w:val="1"/>
    <w:qFormat/>
    <w:uiPriority w:val="0"/>
    <w:pPr>
      <w:ind w:firstLine="0" w:firstLineChars="0"/>
    </w:pPr>
    <w:rPr>
      <w:rFonts w:cs="Times New Roman"/>
      <w:kern w:val="0"/>
      <w:lang w:val="zh-CN"/>
    </w:rPr>
  </w:style>
  <w:style w:type="paragraph" w:styleId="13">
    <w:name w:val="Body Text Indent"/>
    <w:basedOn w:val="1"/>
    <w:qFormat/>
    <w:uiPriority w:val="0"/>
    <w:pPr>
      <w:spacing w:after="120"/>
      <w:ind w:left="420" w:leftChars="200"/>
    </w:pPr>
  </w:style>
  <w:style w:type="paragraph" w:styleId="14">
    <w:name w:val="toc 3"/>
    <w:basedOn w:val="1"/>
    <w:next w:val="1"/>
    <w:qFormat/>
    <w:uiPriority w:val="39"/>
    <w:pPr>
      <w:spacing w:line="240" w:lineRule="auto"/>
      <w:ind w:left="400" w:leftChars="400" w:firstLine="0" w:firstLineChars="0"/>
    </w:pPr>
  </w:style>
  <w:style w:type="paragraph" w:styleId="15">
    <w:name w:val="Balloon Text"/>
    <w:basedOn w:val="1"/>
    <w:link w:val="43"/>
    <w:autoRedefine/>
    <w:qFormat/>
    <w:uiPriority w:val="0"/>
    <w:pPr>
      <w:spacing w:line="240" w:lineRule="auto"/>
    </w:pPr>
    <w:rPr>
      <w:sz w:val="18"/>
      <w:szCs w:val="18"/>
    </w:rPr>
  </w:style>
  <w:style w:type="paragraph" w:styleId="1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8">
    <w:name w:val="toc 1"/>
    <w:basedOn w:val="1"/>
    <w:next w:val="1"/>
    <w:qFormat/>
    <w:uiPriority w:val="39"/>
    <w:pPr>
      <w:spacing w:line="240" w:lineRule="auto"/>
      <w:ind w:firstLine="0" w:firstLineChars="0"/>
    </w:pPr>
  </w:style>
  <w:style w:type="paragraph" w:styleId="19">
    <w:name w:val="toc 2"/>
    <w:basedOn w:val="1"/>
    <w:next w:val="1"/>
    <w:autoRedefine/>
    <w:qFormat/>
    <w:uiPriority w:val="39"/>
    <w:pPr>
      <w:spacing w:line="240" w:lineRule="auto"/>
      <w:ind w:left="200" w:leftChars="200" w:firstLine="0" w:firstLineChars="0"/>
    </w:pPr>
  </w:style>
  <w:style w:type="paragraph" w:styleId="20">
    <w:name w:val="annotation subject"/>
    <w:basedOn w:val="11"/>
    <w:next w:val="11"/>
    <w:link w:val="49"/>
    <w:qFormat/>
    <w:uiPriority w:val="0"/>
    <w:rPr>
      <w:b/>
      <w:bCs/>
    </w:rPr>
  </w:style>
  <w:style w:type="character" w:styleId="23">
    <w:name w:val="Strong"/>
    <w:basedOn w:val="22"/>
    <w:qFormat/>
    <w:uiPriority w:val="0"/>
    <w:rPr>
      <w:vertAlign w:val="baseline"/>
    </w:rPr>
  </w:style>
  <w:style w:type="character" w:styleId="24">
    <w:name w:val="FollowedHyperlink"/>
    <w:basedOn w:val="22"/>
    <w:qFormat/>
    <w:uiPriority w:val="0"/>
    <w:rPr>
      <w:color w:val="333333"/>
      <w:u w:val="none"/>
    </w:rPr>
  </w:style>
  <w:style w:type="character" w:styleId="25">
    <w:name w:val="Emphasis"/>
    <w:basedOn w:val="22"/>
    <w:qFormat/>
    <w:uiPriority w:val="0"/>
  </w:style>
  <w:style w:type="character" w:styleId="26">
    <w:name w:val="HTML Definition"/>
    <w:basedOn w:val="22"/>
    <w:qFormat/>
    <w:uiPriority w:val="0"/>
  </w:style>
  <w:style w:type="character" w:styleId="27">
    <w:name w:val="HTML Typewriter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Acronym"/>
    <w:basedOn w:val="22"/>
    <w:autoRedefine/>
    <w:qFormat/>
    <w:uiPriority w:val="0"/>
  </w:style>
  <w:style w:type="character" w:styleId="29">
    <w:name w:val="HTML Variable"/>
    <w:basedOn w:val="22"/>
    <w:autoRedefine/>
    <w:qFormat/>
    <w:uiPriority w:val="0"/>
  </w:style>
  <w:style w:type="character" w:styleId="30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1">
    <w:name w:val="HTML Code"/>
    <w:basedOn w:val="22"/>
    <w:qFormat/>
    <w:uiPriority w:val="0"/>
    <w:rPr>
      <w:rFonts w:ascii="monospace" w:hAnsi="monospace" w:eastAsia="monospace" w:cs="monospace"/>
      <w:sz w:val="20"/>
    </w:rPr>
  </w:style>
  <w:style w:type="character" w:styleId="32">
    <w:name w:val="annotation reference"/>
    <w:basedOn w:val="22"/>
    <w:qFormat/>
    <w:uiPriority w:val="0"/>
    <w:rPr>
      <w:sz w:val="21"/>
      <w:szCs w:val="21"/>
    </w:rPr>
  </w:style>
  <w:style w:type="character" w:styleId="33">
    <w:name w:val="HTML Cite"/>
    <w:basedOn w:val="22"/>
    <w:qFormat/>
    <w:uiPriority w:val="0"/>
  </w:style>
  <w:style w:type="character" w:styleId="34">
    <w:name w:val="HTML Keyboard"/>
    <w:basedOn w:val="22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35">
    <w:name w:val="HTML Sample"/>
    <w:basedOn w:val="22"/>
    <w:qFormat/>
    <w:uiPriority w:val="0"/>
    <w:rPr>
      <w:rFonts w:hint="default" w:ascii="monospace" w:hAnsi="monospace" w:eastAsia="monospace" w:cs="monospace"/>
    </w:rPr>
  </w:style>
  <w:style w:type="paragraph" w:customStyle="1" w:styleId="36">
    <w:name w:val="样式 首行缩进:  2 字符"/>
    <w:basedOn w:val="1"/>
    <w:autoRedefine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character" w:customStyle="1" w:styleId="37">
    <w:name w:val="标题 3 Char"/>
    <w:basedOn w:val="22"/>
    <w:link w:val="4"/>
    <w:qFormat/>
    <w:uiPriority w:val="9"/>
    <w:rPr>
      <w:rFonts w:ascii="思源宋体 CN Light" w:hAnsi="思源宋体 CN Light" w:eastAsia="思源宋体 CN Light" w:cs="Times New Roman"/>
      <w:b/>
      <w:bCs/>
      <w:sz w:val="28"/>
      <w:szCs w:val="24"/>
    </w:rPr>
  </w:style>
  <w:style w:type="character" w:customStyle="1" w:styleId="38">
    <w:name w:val="标题 1 Char"/>
    <w:basedOn w:val="22"/>
    <w:link w:val="2"/>
    <w:qFormat/>
    <w:uiPriority w:val="9"/>
    <w:rPr>
      <w:rFonts w:ascii="Times New Roman" w:hAnsi="Times New Roman" w:eastAsia="思源宋体 CN Light" w:cs="思源宋体 CN Light"/>
      <w:b/>
      <w:sz w:val="32"/>
      <w:szCs w:val="24"/>
    </w:rPr>
  </w:style>
  <w:style w:type="character" w:customStyle="1" w:styleId="39">
    <w:name w:val="标题 2 Char"/>
    <w:basedOn w:val="22"/>
    <w:link w:val="3"/>
    <w:qFormat/>
    <w:uiPriority w:val="9"/>
    <w:rPr>
      <w:rFonts w:ascii="思源宋体 CN Light" w:hAnsi="思源宋体 CN Light" w:eastAsia="思源宋体 CN Light" w:cs="Times New Roman"/>
      <w:b/>
      <w:bCs/>
      <w:sz w:val="30"/>
      <w:szCs w:val="32"/>
    </w:rPr>
  </w:style>
  <w:style w:type="character" w:customStyle="1" w:styleId="40">
    <w:name w:val="标题 4 Char"/>
    <w:basedOn w:val="22"/>
    <w:link w:val="5"/>
    <w:qFormat/>
    <w:uiPriority w:val="0"/>
    <w:rPr>
      <w:rFonts w:ascii="思源宋体 CN Light" w:hAnsi="思源宋体 CN Light" w:eastAsia="思源宋体 CN Light" w:cs="Times New Roman"/>
      <w:b/>
      <w:iCs/>
      <w:sz w:val="24"/>
      <w:szCs w:val="24"/>
    </w:rPr>
  </w:style>
  <w:style w:type="paragraph" w:customStyle="1" w:styleId="41">
    <w:name w:val="标题5"/>
    <w:basedOn w:val="1"/>
    <w:next w:val="1"/>
    <w:qFormat/>
    <w:uiPriority w:val="0"/>
    <w:pPr>
      <w:numPr>
        <w:ilvl w:val="0"/>
        <w:numId w:val="2"/>
      </w:numPr>
      <w:spacing w:before="120" w:after="120"/>
      <w:ind w:firstLineChars="0"/>
      <w:outlineLvl w:val="3"/>
    </w:pPr>
  </w:style>
  <w:style w:type="paragraph" w:styleId="42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3">
    <w:name w:val="批注框文本 Char"/>
    <w:basedOn w:val="22"/>
    <w:link w:val="15"/>
    <w:qFormat/>
    <w:uiPriority w:val="0"/>
    <w:rPr>
      <w:rFonts w:ascii="思源宋体 CN Light" w:hAnsi="思源宋体 CN Light" w:eastAsia="思源宋体 CN Light" w:cs="思源宋体 CN Light"/>
      <w:kern w:val="2"/>
      <w:sz w:val="18"/>
      <w:szCs w:val="18"/>
    </w:rPr>
  </w:style>
  <w:style w:type="paragraph" w:customStyle="1" w:styleId="44">
    <w:name w:val="TOC 标题1"/>
    <w:basedOn w:val="2"/>
    <w:next w:val="1"/>
    <w:unhideWhenUsed/>
    <w:qFormat/>
    <w:uiPriority w:val="39"/>
    <w:pPr>
      <w:keepLines/>
      <w:widowControl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character" w:customStyle="1" w:styleId="45">
    <w:name w:val="hover"/>
    <w:basedOn w:val="22"/>
    <w:qFormat/>
    <w:uiPriority w:val="0"/>
    <w:rPr>
      <w:color w:val="2590EB"/>
    </w:rPr>
  </w:style>
  <w:style w:type="character" w:customStyle="1" w:styleId="46">
    <w:name w:val="hover1"/>
    <w:basedOn w:val="22"/>
    <w:qFormat/>
    <w:uiPriority w:val="0"/>
    <w:rPr>
      <w:color w:val="2590EB"/>
    </w:rPr>
  </w:style>
  <w:style w:type="character" w:customStyle="1" w:styleId="47">
    <w:name w:val="hover2"/>
    <w:basedOn w:val="22"/>
    <w:qFormat/>
    <w:uiPriority w:val="0"/>
  </w:style>
  <w:style w:type="character" w:customStyle="1" w:styleId="48">
    <w:name w:val="批注文字 Char"/>
    <w:basedOn w:val="22"/>
    <w:link w:val="11"/>
    <w:qFormat/>
    <w:uiPriority w:val="0"/>
    <w:rPr>
      <w:rFonts w:ascii="思源宋体 CN Light" w:hAnsi="思源宋体 CN Light" w:eastAsia="思源宋体 CN Light" w:cs="思源宋体 CN Light"/>
      <w:kern w:val="2"/>
      <w:sz w:val="21"/>
      <w:szCs w:val="24"/>
    </w:rPr>
  </w:style>
  <w:style w:type="character" w:customStyle="1" w:styleId="49">
    <w:name w:val="批注主题 Char"/>
    <w:basedOn w:val="48"/>
    <w:link w:val="20"/>
    <w:qFormat/>
    <w:uiPriority w:val="0"/>
    <w:rPr>
      <w:rFonts w:ascii="思源宋体 CN Light" w:hAnsi="思源宋体 CN Light" w:eastAsia="思源宋体 CN Light" w:cs="思源宋体 CN Light"/>
      <w:b/>
      <w:bCs/>
      <w:kern w:val="2"/>
      <w:sz w:val="21"/>
      <w:szCs w:val="24"/>
    </w:rPr>
  </w:style>
  <w:style w:type="paragraph" w:customStyle="1" w:styleId="50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1">
    <w:name w:val="toc标题"/>
    <w:basedOn w:val="1"/>
    <w:qFormat/>
    <w:uiPriority w:val="0"/>
    <w:pPr>
      <w:ind w:firstLine="0" w:firstLineChars="0"/>
      <w:jc w:val="center"/>
    </w:pPr>
    <w:rPr>
      <w:rFonts w:ascii="思源宋体 CN Light" w:hAnsi="思源宋体 CN Light" w:cs="思源宋体 CN Light"/>
      <w:b/>
      <w:spacing w:val="200"/>
      <w:sz w:val="32"/>
      <w:szCs w:val="32"/>
    </w:rPr>
  </w:style>
  <w:style w:type="paragraph" w:customStyle="1" w:styleId="52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3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numbering" Target="numbering.xml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97BCC-469A-45FB-9215-3F6BF9F0C3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692</Words>
  <Characters>3951</Characters>
  <Lines>32</Lines>
  <Paragraphs>9</Paragraphs>
  <TotalTime>0</TotalTime>
  <ScaleCrop>false</ScaleCrop>
  <LinksUpToDate>false</LinksUpToDate>
  <CharactersWithSpaces>4634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2020-03-04T02:36:00Z</dcterms:created>
  <dc:creator>Administrator</dc:creator>
  <cp:lastModifiedBy>深海幽蓝</cp:lastModifiedBy>
  <dcterms:modified xsi:type="dcterms:W3CDTF">2024-02-21T07:00:21Z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F578AF5C51F0484587D47E2F3DBE3898</vt:lpwstr>
  </property>
</Properties>
</file>